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88544">
      <w:pPr>
        <w:widowControl w:val="0"/>
        <w:tabs>
          <w:tab w:val="left" w:pos="1215"/>
        </w:tabs>
        <w:autoSpaceDE w:val="0"/>
        <w:autoSpaceDN w:val="0"/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drawing>
          <wp:inline distT="0" distB="0" distL="0" distR="0">
            <wp:extent cx="2371090" cy="1896745"/>
            <wp:effectExtent l="0" t="0" r="0" b="8255"/>
            <wp:docPr id="4010353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35320" name="Slika 1"/>
                    <pic:cNvPicPr>
                      <a:picLocks noChangeAspect="1"/>
                    </pic:cNvPicPr>
                  </pic:nvPicPr>
                  <pic:blipFill>
                    <a:blip r:embed="rId6"/>
                    <a:srcRect l="64784" t="7677" r="7641" b="8465"/>
                    <a:stretch>
                      <a:fillRect/>
                    </a:stretch>
                  </pic:blipFill>
                  <pic:spPr>
                    <a:xfrm>
                      <a:off x="0" y="0"/>
                      <a:ext cx="2396612" cy="191745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D7B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3DBFD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19A7F5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5B721D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3F55A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36967C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46206D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</w:rPr>
      </w:pPr>
    </w:p>
    <w:p w14:paraId="652270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75317D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069E50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Calibri" w:cs="Times New Roman"/>
          <w:color w:val="431D69"/>
          <w:sz w:val="24"/>
          <w:szCs w:val="24"/>
        </w:rPr>
      </w:pPr>
    </w:p>
    <w:p w14:paraId="028F6308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hAnsi="Times New Roman" w:eastAsia="Calibri" w:cs="Times New Roman"/>
          <w:color w:val="431D69"/>
          <w:sz w:val="48"/>
          <w:szCs w:val="48"/>
        </w:rPr>
      </w:pPr>
    </w:p>
    <w:p w14:paraId="51D6DC1C">
      <w:pPr>
        <w:widowControl w:val="0"/>
        <w:autoSpaceDE w:val="0"/>
        <w:autoSpaceDN w:val="0"/>
        <w:spacing w:before="1" w:after="0"/>
        <w:ind w:left="763" w:hanging="48"/>
        <w:jc w:val="center"/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</w:pP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Obrazloženje</w:t>
      </w:r>
      <w:r>
        <w:rPr>
          <w:rFonts w:ascii="Times New Roman" w:hAnsi="Times New Roman" w:eastAsia="Calibri" w:cs="Times New Roman"/>
          <w:b/>
          <w:bCs/>
          <w:color w:val="431D69"/>
          <w:spacing w:val="-5"/>
          <w:sz w:val="48"/>
          <w:szCs w:val="48"/>
        </w:rPr>
        <w:t xml:space="preserve"> Godišnjeg izvještaja o i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zvršenju financijskog</w:t>
      </w:r>
      <w:r>
        <w:rPr>
          <w:rFonts w:ascii="Times New Roman" w:hAnsi="Times New Roman" w:eastAsia="Calibri" w:cs="Times New Roman"/>
          <w:b/>
          <w:bCs/>
          <w:color w:val="431D69"/>
          <w:spacing w:val="-6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plana</w:t>
      </w:r>
      <w:r>
        <w:rPr>
          <w:rFonts w:ascii="Times New Roman" w:hAnsi="Times New Roman" w:eastAsia="Calibri" w:cs="Times New Roman"/>
          <w:b/>
          <w:bCs/>
          <w:color w:val="431D69"/>
          <w:spacing w:val="-8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 xml:space="preserve">za </w:t>
      </w:r>
      <w:r>
        <w:rPr>
          <w:rFonts w:ascii="Times New Roman" w:hAnsi="Times New Roman" w:eastAsia="Calibri" w:cs="Times New Roman"/>
          <w:b/>
          <w:bCs/>
          <w:color w:val="431D69"/>
          <w:spacing w:val="-79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>2024.</w:t>
      </w:r>
      <w:r>
        <w:rPr>
          <w:rFonts w:ascii="Times New Roman" w:hAnsi="Times New Roman" w:eastAsia="Calibri" w:cs="Times New Roman"/>
          <w:b/>
          <w:bCs/>
          <w:color w:val="431D69"/>
          <w:spacing w:val="-1"/>
          <w:sz w:val="48"/>
          <w:szCs w:val="48"/>
        </w:rPr>
        <w:t xml:space="preserve"> </w:t>
      </w:r>
      <w:r>
        <w:rPr>
          <w:rFonts w:ascii="Times New Roman" w:hAnsi="Times New Roman" w:eastAsia="Calibri" w:cs="Times New Roman"/>
          <w:b/>
          <w:bCs/>
          <w:color w:val="431D69"/>
          <w:sz w:val="48"/>
          <w:szCs w:val="48"/>
        </w:rPr>
        <w:t xml:space="preserve">godinu </w:t>
      </w:r>
    </w:p>
    <w:p w14:paraId="3AC6EC7A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7C6AC7AD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277B435E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3ED42904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6C365D4F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7CA69E40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1F11F583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0F046A99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377A386A">
      <w:pPr>
        <w:widowControl w:val="0"/>
        <w:tabs>
          <w:tab w:val="left" w:pos="3518"/>
        </w:tabs>
        <w:autoSpaceDE w:val="0"/>
        <w:autoSpaceDN w:val="0"/>
        <w:spacing w:after="0"/>
        <w:jc w:val="both"/>
        <w:rPr>
          <w:rFonts w:ascii="Times New Roman" w:hAnsi="Times New Roman" w:eastAsia="Calibri" w:cs="Times New Roman"/>
          <w:b/>
          <w:bCs/>
          <w:color w:val="632423"/>
          <w:sz w:val="48"/>
          <w:szCs w:val="48"/>
        </w:rPr>
      </w:pPr>
    </w:p>
    <w:p w14:paraId="66D30343">
      <w:pPr>
        <w:widowControl w:val="0"/>
        <w:tabs>
          <w:tab w:val="left" w:pos="3518"/>
        </w:tabs>
        <w:autoSpaceDE w:val="0"/>
        <w:autoSpaceDN w:val="0"/>
        <w:spacing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 ožujak 2025. -</w:t>
      </w:r>
    </w:p>
    <w:p w14:paraId="4831097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86. stavak 3. Zakona o proračunu (NN 144/21)  „Proračunski korisnik dužan je upravljačkom tijelu, u skladu s aktima kojima je uređen rad proračunskog korisnika, dostaviti na usvajanje prijedlog godišnjeg izvještaja o izvršenju financijskog plana za proteklo razdoblje do 31. ožujka tekuće proračunske godine“.</w:t>
      </w:r>
    </w:p>
    <w:p w14:paraId="1C45EC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godišnjeg izvještaja o izvršenju Dječjeg vrtića Vinica za razdoblje od 01.01. do 31.12.2024. godine iskazuje realizaciju Financijskog plana za razdoblje od 01.01. do 31.12.2024. godine u skladu sa sadržajem Financijskog plana, propisanog Zakonom o proračunu (NN 144/21) i Pravilnikom o polugodišnjem i godišnjem izvještaju o izvršenju proračuna i financijskog plana (NN 85/23).</w:t>
      </w:r>
    </w:p>
    <w:p w14:paraId="4195BB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o izvršenju financijskog plana proračunskog korisnika sadrži opći dio, posebni dio, obrazloženje i posebne izvještaje.</w:t>
      </w:r>
    </w:p>
    <w:p w14:paraId="2837EA3B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 dio godišnjeg izvještaja o izvršenju financijskog plana sadrži:</w:t>
      </w:r>
    </w:p>
    <w:p w14:paraId="042190BC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16BA31B9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 i Račun financiranja</w:t>
      </w:r>
    </w:p>
    <w:p w14:paraId="00124D3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Posebni dio godišnjeg izvještaja o izvršenju financijskog plana sadrži:</w:t>
      </w:r>
    </w:p>
    <w:p w14:paraId="5929FE7E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Izvršenje rashoda i izdataka iskazanih po izvorima financiranja i ekonomskoj klasifikaciji, raspoređenih u programe koji se sastoje od aktivnosti i projekata.</w:t>
      </w:r>
    </w:p>
    <w:p w14:paraId="3B14FFB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Obrazloženje se sastoji od:</w:t>
      </w:r>
    </w:p>
    <w:p w14:paraId="2FA3E694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Obrazloženja općeg dijela izvještaja o izvršenju</w:t>
      </w:r>
    </w:p>
    <w:p w14:paraId="3DD18B57">
      <w:pPr>
        <w:pStyle w:val="4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Obrazloženja posebnog dijela izvještaja o izvršenju</w:t>
      </w:r>
    </w:p>
    <w:p w14:paraId="2ADB5EB3">
      <w:pPr>
        <w:shd w:val="clear" w:color="auto" w:fill="FFFFFF"/>
        <w:spacing w:before="274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CC78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OBRAZLOŽENJE OPĆEG DIJELA IZVJEŠTAJA  O IZVRŠENJU FINANCIJSKOG PLANA DJEČJEG VRTIĆA VINICA</w:t>
      </w:r>
    </w:p>
    <w:p w14:paraId="17105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D8DB0">
      <w:pPr>
        <w:pStyle w:val="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ostvarenja prihoda i rashoda, primitaka i izdataka </w:t>
      </w:r>
    </w:p>
    <w:p w14:paraId="4DE17B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4BF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PRIHODI POSLOVANJA (6)</w:t>
      </w:r>
    </w:p>
    <w:p w14:paraId="0E68BDA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01.01.– 31.12.2024. godine, Dječji vrtić Vinica ostvario je prihode poslovanja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414.893,24 eura </w:t>
      </w:r>
      <w:r>
        <w:rPr>
          <w:rFonts w:ascii="Times New Roman" w:hAnsi="Times New Roman" w:cs="Times New Roman"/>
          <w:sz w:val="24"/>
          <w:szCs w:val="24"/>
        </w:rPr>
        <w:t>i to kako slijedi:</w:t>
      </w:r>
    </w:p>
    <w:p w14:paraId="6340A89A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Kapitalne pomoći od izvanproračunskih korisnika </w:t>
      </w:r>
      <w:r>
        <w:rPr>
          <w:rFonts w:ascii="Times New Roman" w:hAnsi="Times New Roman" w:cs="Times New Roman"/>
          <w:sz w:val="24"/>
          <w:szCs w:val="24"/>
        </w:rPr>
        <w:t xml:space="preserve">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1.273,60 eura, </w:t>
      </w:r>
      <w:r>
        <w:rPr>
          <w:rFonts w:ascii="Times New Roman" w:hAnsi="Times New Roman" w:cs="Times New Roman"/>
          <w:sz w:val="24"/>
          <w:szCs w:val="24"/>
        </w:rPr>
        <w:t xml:space="preserve">a odnose se na refundacije na teret HZZO, dok je u prethodnom razdoblju nije bilo refundacija knjiženih na isti konto. </w:t>
      </w:r>
    </w:p>
    <w:p w14:paraId="4290FC3A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Tekuće pomoći proračunskim korisnicima iz proračuna koji im nije nadležan u iznosu od  2.802,60 eura  </w:t>
      </w:r>
      <w:r>
        <w:rPr>
          <w:rFonts w:ascii="Times New Roman" w:hAnsi="Times New Roman" w:cs="Times New Roman"/>
          <w:bCs/>
          <w:sz w:val="24"/>
          <w:szCs w:val="24"/>
        </w:rPr>
        <w:t>ostvareni su 118,75% u odnosu na prethodno razdoblje. Odnose se na prihode iz državnog proračuna koji su dodijeljeni na temelju Odluke o sufinanciranju programa javnih potreba u području predškolskog odgoja i obrazovanja.</w:t>
      </w:r>
    </w:p>
    <w:p w14:paraId="4F292692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Kamate na oročena sredstva i depozite po viđenju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su u iznosu od </w:t>
      </w:r>
      <w:r>
        <w:rPr>
          <w:rFonts w:ascii="Times New Roman" w:hAnsi="Times New Roman" w:cs="Times New Roman"/>
          <w:b/>
          <w:sz w:val="24"/>
          <w:szCs w:val="24"/>
        </w:rPr>
        <w:t xml:space="preserve">2,81 eur,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su u odnosu na prethodno razdoblje 364,94% </w:t>
      </w:r>
    </w:p>
    <w:p w14:paraId="78B97F49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Ostali nespomenuti prihodi – 142.373,82 eura, </w:t>
      </w:r>
      <w:r>
        <w:rPr>
          <w:rFonts w:ascii="Times New Roman" w:hAnsi="Times New Roman" w:cs="Times New Roman"/>
          <w:bCs/>
          <w:sz w:val="24"/>
          <w:szCs w:val="24"/>
        </w:rPr>
        <w:t>ostvareni su 121,59% 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odnosu na prethodno razdoblje.</w:t>
      </w:r>
    </w:p>
    <w:p w14:paraId="7F5501F6">
      <w:pPr>
        <w:pStyle w:val="4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Tekuće donacije – 810,00 eura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su 540 % u odnosu na prethodno razdoblje </w:t>
      </w:r>
    </w:p>
    <w:p w14:paraId="7B3930AD">
      <w:pPr>
        <w:pStyle w:val="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iz nadležnog proračuna za financiranje rashoda poslovanja – 267.630,41 </w:t>
      </w:r>
      <w:r>
        <w:rPr>
          <w:rFonts w:ascii="Times New Roman" w:hAnsi="Times New Roman" w:cs="Times New Roman"/>
          <w:b/>
          <w:bCs/>
          <w:sz w:val="24"/>
          <w:szCs w:val="24"/>
        </w:rPr>
        <w:t>eura</w:t>
      </w:r>
      <w:r>
        <w:rPr>
          <w:rFonts w:ascii="Times New Roman" w:hAnsi="Times New Roman" w:cs="Times New Roman"/>
          <w:sz w:val="24"/>
          <w:szCs w:val="24"/>
        </w:rPr>
        <w:t xml:space="preserve">, ostvareni su u 170,75 % u odnosu na prethodno razdoblje. </w:t>
      </w:r>
      <w:r>
        <w:rPr>
          <w:rFonts w:ascii="Times New Roman" w:hAnsi="Times New Roman" w:cs="Times New Roman"/>
          <w:bCs/>
          <w:sz w:val="24"/>
          <w:szCs w:val="24"/>
        </w:rPr>
        <w:t>Odnose se na prihode iz nadležnog proračuna Općine Vinica.</w:t>
      </w:r>
    </w:p>
    <w:p w14:paraId="5C0D55D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6E3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Promatrajući prethodno 01.01.2023. godinu, zabilježeno je povećanje tekućih pomoći proračunskim korisnicima iz proračuna koji ima nije nadležan, zbog povećanja broja djece s poteškoćama u razvoju. Vidljivo je i povećanje </w:t>
      </w:r>
      <w:r>
        <w:rPr>
          <w:rFonts w:ascii="Times New Roman" w:hAnsi="Times New Roman" w:cs="Times New Roman"/>
          <w:bCs/>
          <w:sz w:val="24"/>
          <w:szCs w:val="24"/>
        </w:rPr>
        <w:t xml:space="preserve">koje se odnose na sufinanciranje ekonomske cijene vrtića od strane roditelja i vanjskih Općina koje sufinanciraju ekonomsku cijenu, zbog povećanja ekonomske cijene vrtića. </w:t>
      </w:r>
    </w:p>
    <w:p w14:paraId="06A399E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Zabilježeno je povećanje prihoda od tekućih donacija koji su nastali provođenjem projekta „Eko vrt – najljepši vrtovi hrvatske“ gdje je Dječji vrtić Vinica osvojio drugo mjesto te je u tu svrhu primio donaciju od Hrvatske radio televizije. Vidljivo znatno povećanje Prihoda iz nadležnog proračuna za financiranje rashoda poslovanja  u odnosno na promatrano razdoblje prethodne godine, koji su nastali zbog povećanja ekonomske cijene vrtića radi usklađenja plaća zaposlenih sa Zakonom o predškolskom odgoju i obrazovanju. Također je došlo do izmjene u postotku sufinanciranje ekonomske cijene vrtića od strane osnivača za 10% te sada iznosi 70 %. </w:t>
      </w:r>
    </w:p>
    <w:p w14:paraId="4D535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818B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RASHODI POSLOVANJA (3)</w:t>
      </w:r>
    </w:p>
    <w:p w14:paraId="0EC90E1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od 01.01. – 31.12.2024. godine Dječji vrtić Vinica ostvario je ukupne rashode poslovanja u iznosu od </w:t>
      </w:r>
      <w:r>
        <w:rPr>
          <w:rFonts w:ascii="Times New Roman" w:hAnsi="Times New Roman" w:cs="Times New Roman"/>
          <w:b/>
          <w:bCs/>
          <w:sz w:val="24"/>
          <w:szCs w:val="24"/>
        </w:rPr>
        <w:t>381.913,60 eura</w:t>
      </w:r>
      <w:r>
        <w:rPr>
          <w:rFonts w:ascii="Times New Roman" w:hAnsi="Times New Roman" w:cs="Times New Roman"/>
          <w:sz w:val="24"/>
          <w:szCs w:val="24"/>
        </w:rPr>
        <w:t>, ostvareni su 133,90 % u odnosu na prethodno razdoblje.</w:t>
      </w:r>
    </w:p>
    <w:p w14:paraId="522E6664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 - 317.446,55eura</w:t>
      </w:r>
      <w:r>
        <w:rPr>
          <w:rFonts w:ascii="Times New Roman" w:hAnsi="Times New Roman" w:cs="Times New Roman"/>
          <w:sz w:val="24"/>
          <w:szCs w:val="24"/>
        </w:rPr>
        <w:t xml:space="preserve"> ostvareni su 143,42% u odnosu na prethodno razdoblje, sastoje se od:</w:t>
      </w:r>
    </w:p>
    <w:p w14:paraId="591AE298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plaće za redovan rad u iznosu od 260.652,37 eura</w:t>
      </w:r>
    </w:p>
    <w:p w14:paraId="7773BA01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rashodi za zaposlene (uskrsnica, nagrade) u iznosu od                          15.166,24 eura</w:t>
      </w:r>
    </w:p>
    <w:p w14:paraId="2DB3C1EF">
      <w:pPr>
        <w:pStyle w:val="4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doprinosi na plaću u iznosu od 41.627,94 eura</w:t>
      </w:r>
    </w:p>
    <w:p w14:paraId="6423B42E">
      <w:pPr>
        <w:pStyle w:val="4"/>
        <w:spacing w:after="0" w:line="276" w:lineRule="auto"/>
        <w:ind w:left="1977"/>
        <w:jc w:val="both"/>
        <w:rPr>
          <w:rFonts w:ascii="Times New Roman" w:hAnsi="Times New Roman" w:cs="Times New Roman"/>
          <w:sz w:val="24"/>
          <w:szCs w:val="24"/>
        </w:rPr>
      </w:pPr>
    </w:p>
    <w:p w14:paraId="48C4380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prethodno promatrano razdoblje 2023. godine,  vidljivo je povećanje plaće za redovan rad, ostalih rashoda za zaposlene  i doprinosa za obvezno zdravstveno osiguranje koji su nastali zbog povećanja plaća djelatnica vrtića, radi usklađenja sa Zakonom o predškolskom odgoju i obrazovanju (NN 10/97, 107/07, 94/13, 57/22, 101/23). </w:t>
      </w:r>
    </w:p>
    <w:p w14:paraId="41A77A7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1C66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747C8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Materijalni rashodi – 63.726,94 eura </w:t>
      </w:r>
      <w:r>
        <w:rPr>
          <w:rFonts w:ascii="Times New Roman" w:hAnsi="Times New Roman" w:cs="Times New Roman"/>
          <w:bCs/>
          <w:sz w:val="24"/>
          <w:szCs w:val="24"/>
        </w:rPr>
        <w:t xml:space="preserve">ostvareni su </w:t>
      </w:r>
      <w:r>
        <w:rPr>
          <w:rFonts w:ascii="Times New Roman" w:hAnsi="Times New Roman" w:cs="Times New Roman"/>
          <w:sz w:val="24"/>
          <w:szCs w:val="24"/>
        </w:rPr>
        <w:t>101,06 % u</w:t>
      </w:r>
      <w:r>
        <w:rPr>
          <w:rFonts w:ascii="Times New Roman" w:hAnsi="Times New Roman" w:cs="Times New Roman"/>
          <w:bCs/>
          <w:sz w:val="24"/>
          <w:szCs w:val="24"/>
        </w:rPr>
        <w:t xml:space="preserve"> odnosu na prethodno razdoblje</w:t>
      </w:r>
      <w:r>
        <w:rPr>
          <w:rFonts w:ascii="Times New Roman" w:hAnsi="Times New Roman" w:cs="Times New Roman"/>
          <w:sz w:val="24"/>
          <w:szCs w:val="24"/>
        </w:rPr>
        <w:t>, sastoje se od:</w:t>
      </w:r>
    </w:p>
    <w:p w14:paraId="6E797D33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naknade troškova zaposlenima</w:t>
      </w:r>
      <w:r>
        <w:rPr>
          <w:rFonts w:ascii="Times New Roman" w:hAnsi="Times New Roman" w:cs="Times New Roman"/>
          <w:sz w:val="24"/>
          <w:szCs w:val="24"/>
        </w:rPr>
        <w:t xml:space="preserve"> u iznosu od 8.755,81 eura ostvareni su 74,64 % u odnosu na prethodno razdoblje  (sastoje se od: službena putovanja u iznosu od 1.799,30 eura,  naknade za prijevoz, za rad na terenu i odvojeni život u iznosu od 6.497,64 eura, te stručno usavršavanje zaposlenika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458,87 eur)</w:t>
      </w:r>
    </w:p>
    <w:p w14:paraId="45C4FA8C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rashoda za materijal i energiju</w:t>
      </w:r>
      <w:r>
        <w:rPr>
          <w:rFonts w:ascii="Times New Roman" w:hAnsi="Times New Roman" w:cs="Times New Roman"/>
          <w:sz w:val="24"/>
          <w:szCs w:val="24"/>
        </w:rPr>
        <w:t xml:space="preserve"> u iznosu od 36.961,44 eura, ostvareni su 97,41% u odnosu na prethodno razdoblje (sastoje se od: uredski materijal i ostali materijalni rashodi u iznosu od 4.552,87 eura materijal i sirovine u iznosu od 17.377,43 eura, energija u iznosu od 6.956,22 eura, materijal i dijelovi za tekuće i investicijsko održavanje u iznosu od 828,59 eura, sitni inventar u iznosu od 6.421,15 eura te službena, radna i zaštitna odjeća i obuća u iznosu od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825,18)</w:t>
      </w:r>
    </w:p>
    <w:p w14:paraId="30CCB1CA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rashoda za usluge</w:t>
      </w:r>
      <w:r>
        <w:rPr>
          <w:rFonts w:ascii="Times New Roman" w:hAnsi="Times New Roman" w:cs="Times New Roman"/>
          <w:sz w:val="24"/>
          <w:szCs w:val="24"/>
        </w:rPr>
        <w:t xml:space="preserve"> u iznosu od 12.930,97 eura ostvareni su 136,96 % u odnosu na prethodno razdoblje  (sastoje se od: usluga telefona, pošte i prijevoza u iznosu od 1.071,72 eura, usluge tekućeg i investicijskog održavanja u iznosu od 4.516,81 eura, usluge promidžbe i informiranja u iznosu od 420,00 eura, komunalne usluge u iznosu od 2.826,38 eura, zdravstvene i veterinarske usluge u iznosu od 1.168,72 eura, intelektualne i osobne usluge 378,75 eur, računalne usluge u iznosu od 1.865,40 eura te ostale usluge 683,19 eur)</w:t>
      </w:r>
    </w:p>
    <w:p w14:paraId="37CD5F8F">
      <w:pPr>
        <w:pStyle w:val="4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ostali nespomenuti rashoda poslovanja</w:t>
      </w:r>
      <w:r>
        <w:rPr>
          <w:rFonts w:ascii="Times New Roman" w:hAnsi="Times New Roman" w:cs="Times New Roman"/>
          <w:sz w:val="24"/>
          <w:szCs w:val="24"/>
        </w:rPr>
        <w:t xml:space="preserve"> u iznosu od 5.078,72 eura ostvareni su 128,86% u odnosu na prethodno razdoblje (sastoje se od: naknade za rad predstavničkih i izvršnih tijela, povjerenstva i slično u iznosu od 2.095,78 eura, reprezentacija u iznosu od 1.033,70 eura, ostali nespomenuti rashodi poslovanja u iznosu od 1.949,24 eura)</w:t>
      </w:r>
    </w:p>
    <w:p w14:paraId="5CD7CE3C">
      <w:pPr>
        <w:pStyle w:val="4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FB31B">
      <w:pPr>
        <w:pStyle w:val="4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Financijski rashodi – 740,11 </w:t>
      </w:r>
      <w:r>
        <w:rPr>
          <w:rFonts w:ascii="Times New Roman" w:hAnsi="Times New Roman" w:cs="Times New Roman"/>
          <w:sz w:val="24"/>
          <w:szCs w:val="24"/>
        </w:rPr>
        <w:t>ostvareni su 89,42 % u odnosu na planirano, a odnose se na bankovne usluge i usluge platnog prometa.</w:t>
      </w:r>
    </w:p>
    <w:p w14:paraId="1B56EE73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066AD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Obrazloženje viška prihoda poslovanja </w:t>
      </w:r>
    </w:p>
    <w:p w14:paraId="1E3ED697">
      <w:pPr>
        <w:pStyle w:val="4"/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B0FC8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prihodi i primici ostvareni su u iznosu 414.893,24 eura, ukupni rashodi i izdaci ostvareni su u iznosu od 381.913,60 eura što rezultira viškom prihoda i primitaka u iznosu od 32.979,64 eura.</w:t>
      </w:r>
    </w:p>
    <w:p w14:paraId="02595CF4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višak rezultat je postupanja u skladu s Odlukom o pokriću manjka odnosno rezultat je maksimalnog poštivanja načela ekonomičnosti i učinkovitosti prilikom trošenja proračunskih sredstva kako bi ostvareni prihodi bili dostatni za pokriće tekućih rashoda ali i dostatni za pokriće prenesenog dijela manjka. </w:t>
      </w:r>
    </w:p>
    <w:p w14:paraId="394FA25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2023. godini Dječji vrtić Vinica ostvario je  manjak  prihoda i primitaka poslovanja u iznosu od  5.698,16 eura.</w:t>
      </w:r>
    </w:p>
    <w:p w14:paraId="3F13585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31.12.2024. godine višak Dječjeg vrtića Vinica iznosi 27.281,48 eura, sa obračunatim manjkom od 5.698,16 eura.</w:t>
      </w:r>
    </w:p>
    <w:p w14:paraId="6431F58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Zahvaljujući poduzetim mjerama za pravodobno prikupljanje i ostvarenje prihoda, uz maksimalno poštivanje načela ekonomičnosti i učinkovitosti prilikom trošenja proračunskih sredstava, a kako bi ostvareni prihodi bili dostatni za pokriće dijela prenesenog manjka te rashoda i izdataka u skladu s definiranom dinamikom, uspješno smo pokrili manjak nastali u 2023. godine, ali i ostvarili višak prihoda poslovanja. </w:t>
      </w:r>
    </w:p>
    <w:p w14:paraId="6BA5EF2C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57D559BA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STANJE NOVAČNIH SREDSTAVA NA RAČUNU PRORAČUNSKOG KORISNIKA NA POČETKU I NA KRAJU PRORAČUNSKE GODINE</w:t>
      </w:r>
    </w:p>
    <w:p w14:paraId="2EE02065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dan 01.01.2024. stanje na računu Dječjeg vrtića Vinica iznosilo je 13.608,85 eura.</w:t>
      </w:r>
    </w:p>
    <w:p w14:paraId="67478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na računu na dan 31.12.2024. godine iznosi 59.502,63 eura.</w:t>
      </w:r>
    </w:p>
    <w:p w14:paraId="3DBDA8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u blagajni na dan 31.12.2024. godine iznosi 6,06 eura.</w:t>
      </w:r>
    </w:p>
    <w:p w14:paraId="2FE5BC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stanje na računu i blagajni s danom 31.12.2024. godine iznosi 59.508,69 eura.</w:t>
      </w:r>
    </w:p>
    <w:p w14:paraId="1B7639FB">
      <w:pPr>
        <w:spacing w:after="200" w:line="276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19B21C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OBRAZLOŽENJE POSEBNOG DIJELA IZVJEŠTAJA  O IZVRŠENJU FINANCIJSKOG PLANA DJEČJEG VRTIĆA VINICA </w:t>
      </w:r>
    </w:p>
    <w:p w14:paraId="576AE59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5E09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5F1B79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Dječji vrtić Vinica svojim programima  realizira zadatke s ciljem stalnog podizanja kvalitete rada djece predškolske dobi. Cjelokupni rad se odvija usklađen s razvojnim mogućnostima i potrebama djece. Najvažniji i najrelevantniji pokazatelj uspješnosti realizacije ciljeva je interes djece za kraće programe, a jedna od njih je program „Smartiči“, kojeg smo uvrstili krajem godine, u nastavno na dobivanje certifikata Europske talent točke.</w:t>
      </w:r>
    </w:p>
    <w:p w14:paraId="0B25158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28D6A3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BC6398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C25FAC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POSEBNI IZVJEŠTAJI</w:t>
      </w:r>
    </w:p>
    <w:p w14:paraId="4BDD196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Izvještaj o zaduživanju na domaćem i stranom tržištu novca i kapitala</w:t>
      </w:r>
    </w:p>
    <w:p w14:paraId="7C2589E4">
      <w:pPr>
        <w:pStyle w:val="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navedenom razdoblju Dječji vrtić Vinica nije se zaduživao na domaćem i stranom tržištu novca i kapitala</w:t>
      </w:r>
    </w:p>
    <w:p w14:paraId="4727F67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3276987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textWrapping"/>
      </w:r>
    </w:p>
    <w:p w14:paraId="7A085D9F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94A6C"/>
    <w:multiLevelType w:val="multilevel"/>
    <w:tmpl w:val="29294A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6C776D4"/>
    <w:multiLevelType w:val="multilevel"/>
    <w:tmpl w:val="46C776D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A7D6493"/>
    <w:multiLevelType w:val="multilevel"/>
    <w:tmpl w:val="4A7D6493"/>
    <w:lvl w:ilvl="0" w:tentative="0">
      <w:start w:val="1"/>
      <w:numFmt w:val="bullet"/>
      <w:lvlText w:val=""/>
      <w:lvlJc w:val="left"/>
      <w:pPr>
        <w:ind w:left="1977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69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41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13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85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57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29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01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737" w:hanging="360"/>
      </w:pPr>
      <w:rPr>
        <w:rFonts w:hint="default" w:ascii="Wingdings" w:hAnsi="Wingdings"/>
      </w:rPr>
    </w:lvl>
  </w:abstractNum>
  <w:abstractNum w:abstractNumId="3">
    <w:nsid w:val="4F861AA7"/>
    <w:multiLevelType w:val="multilevel"/>
    <w:tmpl w:val="4F861A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EA6138C"/>
    <w:multiLevelType w:val="multilevel"/>
    <w:tmpl w:val="6EA6138C"/>
    <w:lvl w:ilvl="0" w:tentative="0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b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7B176B42"/>
    <w:multiLevelType w:val="multilevel"/>
    <w:tmpl w:val="7B176B4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CD"/>
    <w:rsid w:val="00013315"/>
    <w:rsid w:val="000427E9"/>
    <w:rsid w:val="00075B51"/>
    <w:rsid w:val="000A1DA2"/>
    <w:rsid w:val="000F18C8"/>
    <w:rsid w:val="000F6FA0"/>
    <w:rsid w:val="00107BAB"/>
    <w:rsid w:val="001656C7"/>
    <w:rsid w:val="001751AF"/>
    <w:rsid w:val="00195C0A"/>
    <w:rsid w:val="00195DFB"/>
    <w:rsid w:val="00197A66"/>
    <w:rsid w:val="001D6309"/>
    <w:rsid w:val="001D7D73"/>
    <w:rsid w:val="001F1E9E"/>
    <w:rsid w:val="002154FB"/>
    <w:rsid w:val="00215CBD"/>
    <w:rsid w:val="00217EB3"/>
    <w:rsid w:val="002409E6"/>
    <w:rsid w:val="00280DAC"/>
    <w:rsid w:val="00286228"/>
    <w:rsid w:val="002A4DD2"/>
    <w:rsid w:val="002D4802"/>
    <w:rsid w:val="002E7706"/>
    <w:rsid w:val="00305601"/>
    <w:rsid w:val="003070B6"/>
    <w:rsid w:val="00326FB7"/>
    <w:rsid w:val="00363824"/>
    <w:rsid w:val="0039311E"/>
    <w:rsid w:val="003A64D5"/>
    <w:rsid w:val="003C1482"/>
    <w:rsid w:val="003D4290"/>
    <w:rsid w:val="003E7C80"/>
    <w:rsid w:val="004007A2"/>
    <w:rsid w:val="00401478"/>
    <w:rsid w:val="00403055"/>
    <w:rsid w:val="00412895"/>
    <w:rsid w:val="00461C20"/>
    <w:rsid w:val="00492A28"/>
    <w:rsid w:val="004C0D78"/>
    <w:rsid w:val="004C1D8B"/>
    <w:rsid w:val="004E390A"/>
    <w:rsid w:val="004F5559"/>
    <w:rsid w:val="005166CD"/>
    <w:rsid w:val="00541CC1"/>
    <w:rsid w:val="005734D9"/>
    <w:rsid w:val="00593091"/>
    <w:rsid w:val="005965BE"/>
    <w:rsid w:val="00613614"/>
    <w:rsid w:val="00633305"/>
    <w:rsid w:val="00647201"/>
    <w:rsid w:val="00696478"/>
    <w:rsid w:val="006D32D3"/>
    <w:rsid w:val="006F0305"/>
    <w:rsid w:val="007372D3"/>
    <w:rsid w:val="007440D9"/>
    <w:rsid w:val="00764710"/>
    <w:rsid w:val="00784E09"/>
    <w:rsid w:val="007D3371"/>
    <w:rsid w:val="007D67FA"/>
    <w:rsid w:val="007F1B4A"/>
    <w:rsid w:val="007F66F5"/>
    <w:rsid w:val="00816586"/>
    <w:rsid w:val="008235F7"/>
    <w:rsid w:val="0084649A"/>
    <w:rsid w:val="00862527"/>
    <w:rsid w:val="00897FC8"/>
    <w:rsid w:val="008B0271"/>
    <w:rsid w:val="00922C77"/>
    <w:rsid w:val="00935238"/>
    <w:rsid w:val="00984904"/>
    <w:rsid w:val="009A7926"/>
    <w:rsid w:val="009B45F2"/>
    <w:rsid w:val="009C1F0A"/>
    <w:rsid w:val="00A24FF5"/>
    <w:rsid w:val="00A3719A"/>
    <w:rsid w:val="00A42CD2"/>
    <w:rsid w:val="00A64B12"/>
    <w:rsid w:val="00A720B9"/>
    <w:rsid w:val="00A728BF"/>
    <w:rsid w:val="00AA6728"/>
    <w:rsid w:val="00AC731F"/>
    <w:rsid w:val="00AD7BCD"/>
    <w:rsid w:val="00AF3FD4"/>
    <w:rsid w:val="00B04401"/>
    <w:rsid w:val="00B14D3D"/>
    <w:rsid w:val="00B2666F"/>
    <w:rsid w:val="00B632DB"/>
    <w:rsid w:val="00B92681"/>
    <w:rsid w:val="00BA0147"/>
    <w:rsid w:val="00BC23C3"/>
    <w:rsid w:val="00BF6DF3"/>
    <w:rsid w:val="00C22348"/>
    <w:rsid w:val="00C55518"/>
    <w:rsid w:val="00C71C97"/>
    <w:rsid w:val="00CA77B6"/>
    <w:rsid w:val="00CC000E"/>
    <w:rsid w:val="00CD01D3"/>
    <w:rsid w:val="00CD4C32"/>
    <w:rsid w:val="00D061A9"/>
    <w:rsid w:val="00D11646"/>
    <w:rsid w:val="00D11F31"/>
    <w:rsid w:val="00D36990"/>
    <w:rsid w:val="00D4285B"/>
    <w:rsid w:val="00D43617"/>
    <w:rsid w:val="00D46D39"/>
    <w:rsid w:val="00D52466"/>
    <w:rsid w:val="00DA702A"/>
    <w:rsid w:val="00DB1896"/>
    <w:rsid w:val="00DC2570"/>
    <w:rsid w:val="00DD1B41"/>
    <w:rsid w:val="00DE2A88"/>
    <w:rsid w:val="00E316AD"/>
    <w:rsid w:val="00E54F65"/>
    <w:rsid w:val="00E60BF0"/>
    <w:rsid w:val="00EA06B8"/>
    <w:rsid w:val="00EA72F5"/>
    <w:rsid w:val="00EC0087"/>
    <w:rsid w:val="00EF282C"/>
    <w:rsid w:val="00F174A4"/>
    <w:rsid w:val="00F341B0"/>
    <w:rsid w:val="00F41DF9"/>
    <w:rsid w:val="00F711B0"/>
    <w:rsid w:val="2F8C4349"/>
    <w:rsid w:val="3B405B8E"/>
    <w:rsid w:val="3F65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1342</Words>
  <Characters>7656</Characters>
  <Lines>63</Lines>
  <Paragraphs>17</Paragraphs>
  <TotalTime>87</TotalTime>
  <ScaleCrop>false</ScaleCrop>
  <LinksUpToDate>false</LinksUpToDate>
  <CharactersWithSpaces>8981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2025-03-19T07:53:00Z</dcterms:created>
  <dc:creator>Vrtić Škrinjica</dc:creator>
  <cp:lastModifiedBy>Vinica</cp:lastModifiedBy>
  <cp:lastPrinted>2024-08-08T09:48:00Z</cp:lastPrinted>
  <dcterms:modified xsi:type="dcterms:W3CDTF">2025-03-19T12:00:13Z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20E03400A81045578912E1AC3996AE7A_13</vt:lpwstr>
  </property>
</Properties>
</file>