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343D8">
      <w:pPr>
        <w:widowControl w:val="0"/>
        <w:tabs>
          <w:tab w:val="left" w:pos="1215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</w:rPr>
        <w:drawing>
          <wp:inline distT="0" distB="0" distL="0" distR="0">
            <wp:extent cx="2371090" cy="1896745"/>
            <wp:effectExtent l="0" t="0" r="0" b="8255"/>
            <wp:docPr id="40103532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35320" name="Slika 1"/>
                    <pic:cNvPicPr>
                      <a:picLocks noChangeAspect="1"/>
                    </pic:cNvPicPr>
                  </pic:nvPicPr>
                  <pic:blipFill>
                    <a:blip r:embed="rId6"/>
                    <a:srcRect l="64784" t="7677" r="7641" b="8465"/>
                    <a:stretch>
                      <a:fillRect/>
                    </a:stretch>
                  </pic:blipFill>
                  <pic:spPr>
                    <a:xfrm>
                      <a:off x="0" y="0"/>
                      <a:ext cx="2396612" cy="19174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EAC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42C0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084C87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7AF554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30A506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5F18F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5F2B39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1854A0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color w:val="431D69"/>
          <w:sz w:val="24"/>
          <w:szCs w:val="24"/>
        </w:rPr>
      </w:pPr>
    </w:p>
    <w:p w14:paraId="01AA79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color w:val="431D69"/>
          <w:sz w:val="24"/>
          <w:szCs w:val="24"/>
        </w:rPr>
      </w:pPr>
    </w:p>
    <w:p w14:paraId="03F481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color w:val="431D69"/>
          <w:sz w:val="24"/>
          <w:szCs w:val="24"/>
        </w:rPr>
      </w:pPr>
    </w:p>
    <w:p w14:paraId="561DFD9E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hAnsi="Times New Roman" w:eastAsia="Calibri" w:cs="Times New Roman"/>
          <w:color w:val="431D69"/>
          <w:sz w:val="48"/>
          <w:szCs w:val="48"/>
        </w:rPr>
      </w:pPr>
    </w:p>
    <w:p w14:paraId="57977818">
      <w:pPr>
        <w:widowControl w:val="0"/>
        <w:autoSpaceDE w:val="0"/>
        <w:autoSpaceDN w:val="0"/>
        <w:spacing w:before="1" w:after="0"/>
        <w:ind w:left="763" w:hanging="48"/>
        <w:jc w:val="center"/>
        <w:rPr>
          <w:rFonts w:ascii="Times New Roman" w:hAnsi="Times New Roman" w:eastAsia="Calibri" w:cs="Times New Roman"/>
          <w:b/>
          <w:bCs/>
          <w:color w:val="431D69"/>
          <w:sz w:val="48"/>
          <w:szCs w:val="48"/>
        </w:rPr>
      </w:pPr>
      <w:r>
        <w:rPr>
          <w:rFonts w:ascii="Times New Roman" w:hAnsi="Times New Roman" w:eastAsia="Calibri" w:cs="Times New Roman"/>
          <w:b/>
          <w:bCs/>
          <w:color w:val="431D69"/>
          <w:sz w:val="48"/>
          <w:szCs w:val="48"/>
        </w:rPr>
        <w:t>Obrazloženje</w:t>
      </w:r>
      <w:r>
        <w:rPr>
          <w:rFonts w:ascii="Times New Roman" w:hAnsi="Times New Roman" w:eastAsia="Calibri" w:cs="Times New Roman"/>
          <w:b/>
          <w:bCs/>
          <w:color w:val="431D69"/>
          <w:spacing w:val="-5"/>
          <w:sz w:val="48"/>
          <w:szCs w:val="48"/>
        </w:rPr>
        <w:t xml:space="preserve"> Polugodišnjeg izvještaja o i</w:t>
      </w:r>
      <w:r>
        <w:rPr>
          <w:rFonts w:ascii="Times New Roman" w:hAnsi="Times New Roman" w:eastAsia="Calibri" w:cs="Times New Roman"/>
          <w:b/>
          <w:bCs/>
          <w:color w:val="431D69"/>
          <w:sz w:val="48"/>
          <w:szCs w:val="48"/>
        </w:rPr>
        <w:t>zvršenju financijskog</w:t>
      </w:r>
      <w:r>
        <w:rPr>
          <w:rFonts w:ascii="Times New Roman" w:hAnsi="Times New Roman" w:eastAsia="Calibri" w:cs="Times New Roman"/>
          <w:b/>
          <w:bCs/>
          <w:color w:val="431D69"/>
          <w:spacing w:val="-6"/>
          <w:sz w:val="48"/>
          <w:szCs w:val="48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431D69"/>
          <w:sz w:val="48"/>
          <w:szCs w:val="48"/>
        </w:rPr>
        <w:t>plana</w:t>
      </w:r>
      <w:r>
        <w:rPr>
          <w:rFonts w:ascii="Times New Roman" w:hAnsi="Times New Roman" w:eastAsia="Calibri" w:cs="Times New Roman"/>
          <w:b/>
          <w:bCs/>
          <w:color w:val="431D69"/>
          <w:spacing w:val="-8"/>
          <w:sz w:val="48"/>
          <w:szCs w:val="48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431D69"/>
          <w:sz w:val="48"/>
          <w:szCs w:val="48"/>
        </w:rPr>
        <w:t xml:space="preserve">za </w:t>
      </w:r>
      <w:r>
        <w:rPr>
          <w:rFonts w:ascii="Times New Roman" w:hAnsi="Times New Roman" w:eastAsia="Calibri" w:cs="Times New Roman"/>
          <w:b/>
          <w:bCs/>
          <w:color w:val="431D69"/>
          <w:spacing w:val="-79"/>
          <w:sz w:val="48"/>
          <w:szCs w:val="48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431D69"/>
          <w:sz w:val="48"/>
          <w:szCs w:val="48"/>
        </w:rPr>
        <w:t>2024.</w:t>
      </w:r>
      <w:r>
        <w:rPr>
          <w:rFonts w:ascii="Times New Roman" w:hAnsi="Times New Roman" w:eastAsia="Calibri" w:cs="Times New Roman"/>
          <w:b/>
          <w:bCs/>
          <w:color w:val="431D69"/>
          <w:spacing w:val="-1"/>
          <w:sz w:val="48"/>
          <w:szCs w:val="48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431D69"/>
          <w:sz w:val="48"/>
          <w:szCs w:val="48"/>
        </w:rPr>
        <w:t xml:space="preserve">godinu </w:t>
      </w:r>
    </w:p>
    <w:p w14:paraId="68E71C3D">
      <w:pPr>
        <w:widowControl w:val="0"/>
        <w:tabs>
          <w:tab w:val="left" w:pos="3518"/>
        </w:tabs>
        <w:autoSpaceDE w:val="0"/>
        <w:autoSpaceDN w:val="0"/>
        <w:spacing w:after="0"/>
        <w:jc w:val="both"/>
        <w:rPr>
          <w:rFonts w:ascii="Times New Roman" w:hAnsi="Times New Roman" w:eastAsia="Calibri" w:cs="Times New Roman"/>
          <w:b/>
          <w:bCs/>
          <w:color w:val="632423"/>
          <w:sz w:val="48"/>
          <w:szCs w:val="48"/>
        </w:rPr>
      </w:pPr>
    </w:p>
    <w:p w14:paraId="0533431B">
      <w:pPr>
        <w:widowControl w:val="0"/>
        <w:tabs>
          <w:tab w:val="left" w:pos="3518"/>
        </w:tabs>
        <w:autoSpaceDE w:val="0"/>
        <w:autoSpaceDN w:val="0"/>
        <w:spacing w:after="0"/>
        <w:jc w:val="both"/>
        <w:rPr>
          <w:rFonts w:ascii="Times New Roman" w:hAnsi="Times New Roman" w:eastAsia="Calibri" w:cs="Times New Roman"/>
          <w:b/>
          <w:bCs/>
          <w:color w:val="632423"/>
          <w:sz w:val="48"/>
          <w:szCs w:val="48"/>
        </w:rPr>
      </w:pPr>
    </w:p>
    <w:p w14:paraId="1AA2085A">
      <w:pPr>
        <w:widowControl w:val="0"/>
        <w:tabs>
          <w:tab w:val="left" w:pos="3518"/>
        </w:tabs>
        <w:autoSpaceDE w:val="0"/>
        <w:autoSpaceDN w:val="0"/>
        <w:spacing w:after="0"/>
        <w:jc w:val="both"/>
        <w:rPr>
          <w:rFonts w:ascii="Times New Roman" w:hAnsi="Times New Roman" w:eastAsia="Calibri" w:cs="Times New Roman"/>
          <w:b/>
          <w:bCs/>
          <w:color w:val="632423"/>
          <w:sz w:val="48"/>
          <w:szCs w:val="48"/>
        </w:rPr>
      </w:pPr>
    </w:p>
    <w:p w14:paraId="5527183F">
      <w:pPr>
        <w:widowControl w:val="0"/>
        <w:tabs>
          <w:tab w:val="left" w:pos="3518"/>
        </w:tabs>
        <w:autoSpaceDE w:val="0"/>
        <w:autoSpaceDN w:val="0"/>
        <w:spacing w:after="0"/>
        <w:jc w:val="both"/>
        <w:rPr>
          <w:rFonts w:ascii="Times New Roman" w:hAnsi="Times New Roman" w:eastAsia="Calibri" w:cs="Times New Roman"/>
          <w:b/>
          <w:bCs/>
          <w:color w:val="632423"/>
          <w:sz w:val="48"/>
          <w:szCs w:val="48"/>
        </w:rPr>
      </w:pPr>
    </w:p>
    <w:p w14:paraId="57DA0187">
      <w:pPr>
        <w:widowControl w:val="0"/>
        <w:tabs>
          <w:tab w:val="left" w:pos="3518"/>
        </w:tabs>
        <w:autoSpaceDE w:val="0"/>
        <w:autoSpaceDN w:val="0"/>
        <w:spacing w:after="0"/>
        <w:jc w:val="both"/>
        <w:rPr>
          <w:rFonts w:ascii="Times New Roman" w:hAnsi="Times New Roman" w:eastAsia="Calibri" w:cs="Times New Roman"/>
          <w:b/>
          <w:bCs/>
          <w:color w:val="632423"/>
          <w:sz w:val="48"/>
          <w:szCs w:val="48"/>
        </w:rPr>
      </w:pPr>
    </w:p>
    <w:p w14:paraId="61796D4F">
      <w:pPr>
        <w:widowControl w:val="0"/>
        <w:tabs>
          <w:tab w:val="left" w:pos="3518"/>
        </w:tabs>
        <w:autoSpaceDE w:val="0"/>
        <w:autoSpaceDN w:val="0"/>
        <w:spacing w:after="0"/>
        <w:jc w:val="both"/>
        <w:rPr>
          <w:rFonts w:ascii="Times New Roman" w:hAnsi="Times New Roman" w:eastAsia="Calibri" w:cs="Times New Roman"/>
          <w:b/>
          <w:bCs/>
          <w:color w:val="632423"/>
          <w:sz w:val="48"/>
          <w:szCs w:val="48"/>
        </w:rPr>
      </w:pPr>
    </w:p>
    <w:p w14:paraId="0A6364AA">
      <w:pPr>
        <w:widowControl w:val="0"/>
        <w:tabs>
          <w:tab w:val="left" w:pos="3518"/>
        </w:tabs>
        <w:autoSpaceDE w:val="0"/>
        <w:autoSpaceDN w:val="0"/>
        <w:spacing w:after="0"/>
        <w:jc w:val="both"/>
        <w:rPr>
          <w:rFonts w:ascii="Times New Roman" w:hAnsi="Times New Roman" w:eastAsia="Calibri" w:cs="Times New Roman"/>
          <w:b/>
          <w:bCs/>
          <w:color w:val="632423"/>
          <w:sz w:val="48"/>
          <w:szCs w:val="48"/>
        </w:rPr>
      </w:pPr>
    </w:p>
    <w:p w14:paraId="221995FE">
      <w:pPr>
        <w:widowControl w:val="0"/>
        <w:tabs>
          <w:tab w:val="left" w:pos="3518"/>
        </w:tabs>
        <w:autoSpaceDE w:val="0"/>
        <w:autoSpaceDN w:val="0"/>
        <w:spacing w:after="0"/>
        <w:jc w:val="both"/>
        <w:rPr>
          <w:rFonts w:ascii="Times New Roman" w:hAnsi="Times New Roman" w:eastAsia="Calibri" w:cs="Times New Roman"/>
          <w:b/>
          <w:bCs/>
          <w:color w:val="632423"/>
          <w:sz w:val="48"/>
          <w:szCs w:val="48"/>
        </w:rPr>
      </w:pPr>
    </w:p>
    <w:p w14:paraId="4A9BE8A5">
      <w:pPr>
        <w:widowControl w:val="0"/>
        <w:tabs>
          <w:tab w:val="left" w:pos="3518"/>
        </w:tabs>
        <w:autoSpaceDE w:val="0"/>
        <w:autoSpaceDN w:val="0"/>
        <w:spacing w:after="0"/>
        <w:jc w:val="both"/>
        <w:rPr>
          <w:rFonts w:ascii="Times New Roman" w:hAnsi="Times New Roman" w:eastAsia="Calibri" w:cs="Times New Roman"/>
          <w:b/>
          <w:bCs/>
          <w:color w:val="632423"/>
          <w:sz w:val="48"/>
          <w:szCs w:val="48"/>
        </w:rPr>
      </w:pPr>
    </w:p>
    <w:p w14:paraId="5A38E4B2">
      <w:pPr>
        <w:widowControl w:val="0"/>
        <w:tabs>
          <w:tab w:val="left" w:pos="3518"/>
        </w:tabs>
        <w:autoSpaceDE w:val="0"/>
        <w:autoSpaceDN w:val="0"/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srpanj  2024. -</w:t>
      </w:r>
    </w:p>
    <w:p w14:paraId="461D21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86. stavak 1. Zakona o proračunu (NN 144/21)  „Proračunski korisnik dužan je upravljačkom tijelu, u skladu s aktima kojima je uređen rad proračunskog korisnika, dostaviti na usvajanje prijedlog polugodišnjeg izvještaja o izvršenju financijskog plana za proteklo razdoblje do 31. srpnja tekuće proračunske godine“.</w:t>
      </w:r>
    </w:p>
    <w:p w14:paraId="59C213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polugodišnjeg izvještaja o izvršenju Dječjeg vrtića Vinica za razdoblje od 01.01. do 30.06.2024. godine iskazuje realizaciju Financijskog plana za razdoblje od 01.01. do 30.06.2024. godine u skladu sa sadržajem Financijskog plana, propisanog Zakonom o proračunu (NN 144/21) i Pravilnikom o polugodišnjem i godišnjem izvještaju o izvršenju proračuna i financijskog plana (NN 85/23).</w:t>
      </w:r>
    </w:p>
    <w:p w14:paraId="23F95B3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izvještaj o izvršenju financijskog plana proračunskog korisnika sadrži opći dio, posebni dio, obrazloženje i posebne izvještaje.</w:t>
      </w:r>
    </w:p>
    <w:p w14:paraId="25B0D07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 dio godišnjeg izvještaja o izvršenju financijskog plana sadrži:</w:t>
      </w:r>
    </w:p>
    <w:p w14:paraId="724BBD44">
      <w:pPr>
        <w:pStyle w:val="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14:paraId="37F9AAD5">
      <w:pPr>
        <w:pStyle w:val="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 i Račun financiranja</w:t>
      </w:r>
    </w:p>
    <w:p w14:paraId="3C44AD3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Posebni dio godišnjeg izvještaja o izvršenju financijskog plana sadrži:</w:t>
      </w:r>
    </w:p>
    <w:p w14:paraId="43370B7E">
      <w:pPr>
        <w:pStyle w:val="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rashoda i izdataka iskazanih po izvorima financiranja i ekonomskoj klasifikaciji, raspoređenih u programe koji se sastoje od aktivnosti i projekata.</w:t>
      </w:r>
    </w:p>
    <w:p w14:paraId="49492ED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 se sastoji od:</w:t>
      </w:r>
    </w:p>
    <w:p w14:paraId="3FB84F05">
      <w:pPr>
        <w:pStyle w:val="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Obrazloženja općeg dijela izvještaja o izvršenju</w:t>
      </w:r>
    </w:p>
    <w:p w14:paraId="6A153333">
      <w:pPr>
        <w:pStyle w:val="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Obrazloženja posebnog dijela izvještaja o izvršenju</w:t>
      </w:r>
    </w:p>
    <w:p w14:paraId="3117570E">
      <w:pPr>
        <w:shd w:val="clear" w:color="auto" w:fill="FFFFFF"/>
        <w:spacing w:before="274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38E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OBRAZLOŽENJE OPĆEG DIJELA IZVJEŠTAJA  O IZVRŠENJU FINANCIJSKOG PLANA DJEČJEG VRTIĆA VINICA</w:t>
      </w:r>
    </w:p>
    <w:p w14:paraId="572F8D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A6E9F">
      <w:pPr>
        <w:pStyle w:val="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ostvarenja prihoda i rashoda, primitaka i izdataka </w:t>
      </w:r>
    </w:p>
    <w:p w14:paraId="6DE416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FE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PRIHODI POSLOVANJA (6)</w:t>
      </w:r>
    </w:p>
    <w:p w14:paraId="363E44F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 razdoblju od 01.01.– 30.06.2024. godine, Dječji vrtić Vinica ostvario je prihode poslovanja u iznosu od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165.130,35 eura </w:t>
      </w:r>
      <w:r>
        <w:rPr>
          <w:rFonts w:ascii="Times New Roman" w:hAnsi="Times New Roman" w:cs="Times New Roman"/>
          <w:sz w:val="24"/>
          <w:szCs w:val="24"/>
        </w:rPr>
        <w:t>i to kako slijedi:</w:t>
      </w:r>
    </w:p>
    <w:p w14:paraId="2282CAF1">
      <w:pPr>
        <w:pStyle w:val="4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Kapitalne pomoći od izvanproračunskih korisnika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845,04 eura, </w:t>
      </w:r>
      <w:r>
        <w:rPr>
          <w:rFonts w:ascii="Times New Roman" w:hAnsi="Times New Roman" w:cs="Times New Roman"/>
          <w:sz w:val="24"/>
          <w:szCs w:val="24"/>
        </w:rPr>
        <w:t xml:space="preserve">a odnose se na refundacije na teret HZZO, dok je u prethodnom razdoblju nije bilo refundacija knjiženih na isti konto. </w:t>
      </w:r>
    </w:p>
    <w:p w14:paraId="27229A74">
      <w:pPr>
        <w:pStyle w:val="4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Tekuće pomoći proračunskim korisnicima iz proračuna koji im nije nadležan u iznosu od  2.802,60 eura  </w:t>
      </w:r>
      <w:r>
        <w:rPr>
          <w:rFonts w:ascii="Times New Roman" w:hAnsi="Times New Roman" w:cs="Times New Roman"/>
          <w:bCs/>
          <w:sz w:val="24"/>
          <w:szCs w:val="24"/>
        </w:rPr>
        <w:t>ostvareni su 135,49% u odnosu na prethodno razdoblje. Odnose se na prihode iz državnog proračuna koji su dodijeljeni na temelju Odluke o sufinanciranju programa javnih potreba u području predškolskog odgoja i obrazovanja.</w:t>
      </w:r>
    </w:p>
    <w:p w14:paraId="350F4B8D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B36B8D">
      <w:pPr>
        <w:pStyle w:val="4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Ostali nespomenuti prihodi – 63.627,37 eura, </w:t>
      </w:r>
      <w:r>
        <w:rPr>
          <w:rFonts w:ascii="Times New Roman" w:hAnsi="Times New Roman" w:cs="Times New Roman"/>
          <w:bCs/>
          <w:sz w:val="24"/>
          <w:szCs w:val="24"/>
        </w:rPr>
        <w:t>ostvareni su 106,77% 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odnosu na prethodno razdoblje.</w:t>
      </w:r>
    </w:p>
    <w:p w14:paraId="3D53EA84">
      <w:pPr>
        <w:pStyle w:val="4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Tekuće donacije – 660,00 eura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ostvareni su 440 % u odnosu na prethodno razdoblje </w:t>
      </w:r>
    </w:p>
    <w:p w14:paraId="7A4A77B3">
      <w:pPr>
        <w:pStyle w:val="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Prihodi iz nadležnog proračuna za financiranje rashoda poslovanja – 97.194,32 </w:t>
      </w:r>
      <w:r>
        <w:rPr>
          <w:rFonts w:ascii="Times New Roman" w:hAnsi="Times New Roman" w:cs="Times New Roman"/>
          <w:b/>
          <w:bCs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, ostvareni su u 133,48% u odnosu na prethodno razdoblje. </w:t>
      </w:r>
      <w:r>
        <w:rPr>
          <w:rFonts w:ascii="Times New Roman" w:hAnsi="Times New Roman" w:cs="Times New Roman"/>
          <w:bCs/>
          <w:sz w:val="24"/>
          <w:szCs w:val="24"/>
        </w:rPr>
        <w:t>Odnose se na prihode iz nadležnog proračuna Općine Vinica.</w:t>
      </w:r>
    </w:p>
    <w:p w14:paraId="7C13C0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723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Promatrajući prethodno 01. - 06. 2023.  godine zabilježeno je povećanje prihoda od tekućih donacija koji su nastali provođenjem projekta „Eko vrt – najljepši vrtovi hrvatske“ gdje je Dječji vrtić Vinica osvojio drugo mjesto te je u tu svrhu primio donaciju od Hrvatske radio televizije. Vidljivo je povećanje Prihoda iz nadležnog proračuna za financiranje rashoda poslovanja za u odnosno na promatrano razdoblje prethodne godine koji su nastali zbog većih rashoda za zaposlene u dijelu povećanja određenih koeficijenata pojedinim radnim mjestima. </w:t>
      </w:r>
    </w:p>
    <w:p w14:paraId="15DF18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B5CD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RASHODI POSLOVANJA (3)</w:t>
      </w:r>
    </w:p>
    <w:p w14:paraId="2FD6BCF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razdoblju od 01.01. – 30.06.2024. godine Dječji vrtić Vinica ostvario je ukupne rashode poslovanja u iznosu od </w:t>
      </w:r>
      <w:r>
        <w:rPr>
          <w:rFonts w:ascii="Times New Roman" w:hAnsi="Times New Roman" w:cs="Times New Roman"/>
          <w:b/>
          <w:bCs/>
          <w:sz w:val="24"/>
          <w:szCs w:val="24"/>
        </w:rPr>
        <w:t>121.256,82 eura</w:t>
      </w:r>
      <w:r>
        <w:rPr>
          <w:rFonts w:ascii="Times New Roman" w:hAnsi="Times New Roman" w:cs="Times New Roman"/>
          <w:sz w:val="24"/>
          <w:szCs w:val="24"/>
        </w:rPr>
        <w:t>, ostvareni su 98,39% u odnosu na prethodno razdoblje.</w:t>
      </w:r>
    </w:p>
    <w:p w14:paraId="5D775C61">
      <w:pPr>
        <w:pStyle w:val="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za zaposlene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95.658,45 eura</w:t>
      </w:r>
      <w:r>
        <w:rPr>
          <w:rFonts w:ascii="Times New Roman" w:hAnsi="Times New Roman" w:cs="Times New Roman"/>
          <w:sz w:val="24"/>
          <w:szCs w:val="24"/>
        </w:rPr>
        <w:t xml:space="preserve"> ostvareni su 107,52% u odnosu na prethodno razdoblje, sastoje se od:</w:t>
      </w:r>
    </w:p>
    <w:p w14:paraId="797B8557">
      <w:pPr>
        <w:pStyle w:val="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plaće za redovan rad u iznosu od 78.811,21 eura</w:t>
      </w:r>
    </w:p>
    <w:p w14:paraId="2F6D1C99">
      <w:pPr>
        <w:pStyle w:val="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rashodi za zaposlene (uskrsnica, nagrade) u iznosu od                          4.692,80 eura</w:t>
      </w:r>
    </w:p>
    <w:p w14:paraId="4EF3F120">
      <w:pPr>
        <w:pStyle w:val="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doprinosi na plaću u iznosu od 12.154,44 eura</w:t>
      </w:r>
    </w:p>
    <w:p w14:paraId="5DCD9030">
      <w:pPr>
        <w:pStyle w:val="4"/>
        <w:spacing w:after="0" w:line="276" w:lineRule="auto"/>
        <w:ind w:left="1977"/>
        <w:jc w:val="both"/>
        <w:rPr>
          <w:rFonts w:ascii="Times New Roman" w:hAnsi="Times New Roman" w:cs="Times New Roman"/>
          <w:sz w:val="24"/>
          <w:szCs w:val="24"/>
        </w:rPr>
      </w:pPr>
    </w:p>
    <w:p w14:paraId="48A1ADC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promatrano razdoblje prethodne godine vidljivo je povećanje plaće za redovan rad, ostalih rashoda za zaposlene  i doprinosa za obvezno zdravstveno osiguranje koji su nastali zbog povećanja koeficijenata zaposlenima na određenim radnim mjestima.</w:t>
      </w:r>
    </w:p>
    <w:p w14:paraId="7278178E">
      <w:pPr>
        <w:pStyle w:val="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Materijalni rashodi – 25.219,11 eura </w:t>
      </w:r>
      <w:r>
        <w:rPr>
          <w:rFonts w:ascii="Times New Roman" w:hAnsi="Times New Roman" w:cs="Times New Roman"/>
          <w:bCs/>
          <w:sz w:val="24"/>
          <w:szCs w:val="24"/>
        </w:rPr>
        <w:t>ostvareni su 74,44% u odnosu na prethodno razdoblje</w:t>
      </w:r>
      <w:r>
        <w:rPr>
          <w:rFonts w:ascii="Times New Roman" w:hAnsi="Times New Roman" w:cs="Times New Roman"/>
          <w:sz w:val="24"/>
          <w:szCs w:val="24"/>
        </w:rPr>
        <w:t>, sastoje se od:</w:t>
      </w:r>
    </w:p>
    <w:p w14:paraId="5838B607">
      <w:pPr>
        <w:pStyle w:val="4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naknade troškova zaposlenima</w:t>
      </w:r>
      <w:r>
        <w:rPr>
          <w:rFonts w:ascii="Times New Roman" w:hAnsi="Times New Roman" w:cs="Times New Roman"/>
          <w:sz w:val="24"/>
          <w:szCs w:val="24"/>
        </w:rPr>
        <w:t xml:space="preserve"> u iznosu od 3.259,39 eura ostvareni su 64,00% u odnosu na prethodno razdoblje  (sastoje se od: službena putovanja u iznosu od 337,50 eura,  naknade za prijevoz u iznosu od 2.921,89 eura)</w:t>
      </w:r>
    </w:p>
    <w:p w14:paraId="39014CB4">
      <w:pPr>
        <w:pStyle w:val="4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rashoda za materijal i energiju</w:t>
      </w:r>
      <w:r>
        <w:rPr>
          <w:rFonts w:ascii="Times New Roman" w:hAnsi="Times New Roman" w:cs="Times New Roman"/>
          <w:sz w:val="24"/>
          <w:szCs w:val="24"/>
        </w:rPr>
        <w:t xml:space="preserve"> u iznosu od 14.827,14 eura, ostvareni su 71,64% u odnosu na prethodno razdoblje   (sastoje se od: uredski materijal i ostali materijalni rashodi u iznosu od 1.939,26 eura materijal i sirovine u iznosu od 8.403,75 eura, energija u iznosu od 3.219,32 eura, materijal i dijelovi za tekuće i investicijsko održavanje u iznosu od 207,22 eura, sitni inventar u iznosu od 1.057,59 eura)</w:t>
      </w:r>
    </w:p>
    <w:p w14:paraId="293EC314">
      <w:pPr>
        <w:pStyle w:val="4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rashoda za usluge</w:t>
      </w:r>
      <w:r>
        <w:rPr>
          <w:rFonts w:ascii="Times New Roman" w:hAnsi="Times New Roman" w:cs="Times New Roman"/>
          <w:sz w:val="24"/>
          <w:szCs w:val="24"/>
        </w:rPr>
        <w:t xml:space="preserve"> u iznosu od 4.467,42 eura ostvareni su 71,39% u odnosu na prethodno razdoblje  (sastoje se od: usluga telefona, pošte i prijevoza u iznosu od 532,86 eura, usluge tekućeg i investicijskog održavanja u iznosu od 740,32 eura, usluge promidžbe i informiranja u iznosu od 420,00 eura, komunalne usluge u iznosu od 1.050,54 eura, zdravstvene i veterinarske usluge u iznosu od 428,04 eura, računalne usluge u iznosu od 1.295,66 eura)</w:t>
      </w:r>
    </w:p>
    <w:p w14:paraId="568E2BAD">
      <w:pPr>
        <w:pStyle w:val="4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ostali nespomenuti rashoda poslovanja</w:t>
      </w:r>
      <w:r>
        <w:rPr>
          <w:rFonts w:ascii="Times New Roman" w:hAnsi="Times New Roman" w:cs="Times New Roman"/>
          <w:sz w:val="24"/>
          <w:szCs w:val="24"/>
        </w:rPr>
        <w:t xml:space="preserve"> u iznosu od 2.665,16 eura ostvareni su 145,36% u odnosu na prethodno razdoblje   (sastoje se od: naknade za rad predstavničkih i izvršnih tijela, povjerenstva i slično u iznosu od 1.423,89 eura, reprezentacija u iznosu od 48,00 eura, ostali nespomenuti rashodi poslovanja u iznosu od 1.193,27  eura)</w:t>
      </w:r>
    </w:p>
    <w:p w14:paraId="1403F55E">
      <w:pPr>
        <w:pStyle w:val="4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515DD">
      <w:pPr>
        <w:pStyle w:val="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Financijski rashodi – 379,26 </w:t>
      </w:r>
      <w:r>
        <w:rPr>
          <w:rFonts w:ascii="Times New Roman" w:hAnsi="Times New Roman" w:cs="Times New Roman"/>
          <w:sz w:val="24"/>
          <w:szCs w:val="24"/>
        </w:rPr>
        <w:t>ostvareni su 98,65%  u odnosu na planirano, a odnose se na bankovne usluge i usluge platnog prometa.</w:t>
      </w:r>
    </w:p>
    <w:p w14:paraId="2FDE89CE">
      <w:pPr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A9892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 prenesenog manjka</w:t>
      </w:r>
    </w:p>
    <w:p w14:paraId="387BC346">
      <w:pPr>
        <w:pStyle w:val="4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6C46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prihodi i primici ostvareni su u iznosu 165.130,35 eura, ukupni rashodi i izdaci ostvareni su u iznosu od 121.256,82 eura što rezultira viškom prihoda i primitaka u iznosu od 38.175,37 eura.</w:t>
      </w:r>
    </w:p>
    <w:p w14:paraId="5EB8CF4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 višak rezultat je postupanja u skladu s Odlukom o pokriću manjka odnosno rezultat je maksimalnog poštivanja načela ekonomičnosti i učinkovitosti prilikom trošenja proračunskih sredstva kako bi ostvareni prihodi bili dostatni za pokriće tekućih rashoda ali i dostatni za pokriće prenesenog dijela manjka. </w:t>
      </w:r>
    </w:p>
    <w:p w14:paraId="34ABB3F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2023. godini Dječji vrtić Vinica ostvario je  višak prihoda poslovanja u iznosu od 3.181,36 eura, dok je na kraju 2023. godine manjak prihoda i primitaka za pokriće u sljedećem razdoblju iznosio je 5.698,16 eura.</w:t>
      </w:r>
    </w:p>
    <w:p w14:paraId="28EC7F9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30.06.2024. godine višak Dječjeg vrtića Vinica iznosi 43.873,53 eura, sa obračunatim manjkom 38.175,37 eura.</w:t>
      </w:r>
    </w:p>
    <w:p w14:paraId="777336E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Zahvaljujući poduzetim mjerama za pravodobno prikupljanje i ostvarenje prihoda, uz maksimalno poštivanje načela ekonomičnosti i učinkovitosti prilikom trošenja proračunskih sredstava, a kako bi ostvareni prihodi bili dostatni za pokriće dijela prenesenog manjka te rashoda i izdataka u skladu s definiranom dinamikom, uspješno smo pokrili manjak nastali u 2023.</w:t>
      </w:r>
    </w:p>
    <w:p w14:paraId="0B391E30">
      <w:pPr>
        <w:spacing w:after="200" w:line="276" w:lineRule="auto"/>
        <w:jc w:val="both"/>
        <w:rPr>
          <w:rFonts w:ascii="Times New Roman" w:hAnsi="Times New Roman" w:cs="Times New Roman"/>
        </w:rPr>
      </w:pPr>
    </w:p>
    <w:p w14:paraId="598E5864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STANJE NOVAČNIH SREDSTAVA NA RAČUNU PRORAČUNSKOG KORISNIKA NA POČETKU I NA KRAJU PRORAČUNSKE GODINE</w:t>
      </w:r>
    </w:p>
    <w:p w14:paraId="4525E35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01.01.2024. stanje na računu Dječjeg vrtića Vinica iznosilo je 13.608,85 eura.</w:t>
      </w:r>
    </w:p>
    <w:p w14:paraId="645DA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na računu na dan 30.06.2024. godine iznosi 38.446,43 eura.</w:t>
      </w:r>
    </w:p>
    <w:p w14:paraId="7905F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u blagajni na dan 30.06.2024. godine iznosi 6,06 eura.</w:t>
      </w:r>
    </w:p>
    <w:p w14:paraId="74356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stanje na računu i blagajni s danom 30.06.2024. godine iznosi 38.452,49 eura.</w:t>
      </w:r>
    </w:p>
    <w:p w14:paraId="4B07E071">
      <w:pPr>
        <w:spacing w:after="200"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E869A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OBRAZLOŽENJE POSEBNOG DIJELA IZVJEŠTAJA  O IZVRŠENJU FINANCIJSKOG PLANA DJEČJEG VRTIĆA VINICA </w:t>
      </w:r>
    </w:p>
    <w:p w14:paraId="3430B9A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3459C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6F9104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Dječji vrtić Vinica svojim programima  realizira zadatke s ciljem stalnog podizanja kvalitete rada djece predškolske dobi. Cjelokupni rad se odvija usklađen s razvojnim mogućnostima i potrebama djece. Najvažniji i najrelevantniji pokazatelj uspješnosti realizacije ciljeva je interes djece za kraće programe, koje ćemo početi uvrštavati obzirom da smo jedna od talent točaka. </w:t>
      </w:r>
    </w:p>
    <w:p w14:paraId="2E99887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F9BC87">
      <w:pPr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434062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POSEBNI IZVJEŠTAJI</w:t>
      </w:r>
    </w:p>
    <w:p w14:paraId="5CB1B79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Izvještaj o zaduživanju na domaćem i stranom tržištu novca i kapitala</w:t>
      </w:r>
    </w:p>
    <w:p w14:paraId="3A4687DA">
      <w:pPr>
        <w:pStyle w:val="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navedenom razdoblju Dječji vrtić Vinica nije se zaduživao na domaćem i stranom tržištu novca i kapitala</w:t>
      </w:r>
    </w:p>
    <w:p w14:paraId="722F9239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5ED28CD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textWrapping"/>
      </w:r>
    </w:p>
    <w:p w14:paraId="24C76424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94A6C"/>
    <w:multiLevelType w:val="multilevel"/>
    <w:tmpl w:val="29294A6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6C776D4"/>
    <w:multiLevelType w:val="multilevel"/>
    <w:tmpl w:val="46C776D4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A7D6493"/>
    <w:multiLevelType w:val="multilevel"/>
    <w:tmpl w:val="4A7D6493"/>
    <w:lvl w:ilvl="0" w:tentative="0">
      <w:start w:val="1"/>
      <w:numFmt w:val="bullet"/>
      <w:lvlText w:val=""/>
      <w:lvlJc w:val="left"/>
      <w:pPr>
        <w:ind w:left="197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69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41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3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5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7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29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01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37" w:hanging="360"/>
      </w:pPr>
      <w:rPr>
        <w:rFonts w:hint="default" w:ascii="Wingdings" w:hAnsi="Wingdings"/>
      </w:rPr>
    </w:lvl>
  </w:abstractNum>
  <w:abstractNum w:abstractNumId="3">
    <w:nsid w:val="4F861AA7"/>
    <w:multiLevelType w:val="multilevel"/>
    <w:tmpl w:val="4F861AA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EA6138C"/>
    <w:multiLevelType w:val="multilevel"/>
    <w:tmpl w:val="6EA6138C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  <w:b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B176B42"/>
    <w:multiLevelType w:val="multilevel"/>
    <w:tmpl w:val="7B176B42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CD"/>
    <w:rsid w:val="00013315"/>
    <w:rsid w:val="000427E9"/>
    <w:rsid w:val="00075B51"/>
    <w:rsid w:val="000F18C8"/>
    <w:rsid w:val="00107BAB"/>
    <w:rsid w:val="001656C7"/>
    <w:rsid w:val="001751AF"/>
    <w:rsid w:val="00195C0A"/>
    <w:rsid w:val="00195DFB"/>
    <w:rsid w:val="001D6309"/>
    <w:rsid w:val="001D7D73"/>
    <w:rsid w:val="001F1E9E"/>
    <w:rsid w:val="002154FB"/>
    <w:rsid w:val="00215CBD"/>
    <w:rsid w:val="00280DAC"/>
    <w:rsid w:val="00286228"/>
    <w:rsid w:val="002D4802"/>
    <w:rsid w:val="002E7706"/>
    <w:rsid w:val="00305601"/>
    <w:rsid w:val="003070B6"/>
    <w:rsid w:val="00326FB7"/>
    <w:rsid w:val="00363824"/>
    <w:rsid w:val="003A64D5"/>
    <w:rsid w:val="003D4290"/>
    <w:rsid w:val="003E7C80"/>
    <w:rsid w:val="004007A2"/>
    <w:rsid w:val="00401478"/>
    <w:rsid w:val="00403055"/>
    <w:rsid w:val="00412895"/>
    <w:rsid w:val="00461C20"/>
    <w:rsid w:val="00492A28"/>
    <w:rsid w:val="004C0D78"/>
    <w:rsid w:val="004C1D8B"/>
    <w:rsid w:val="004E390A"/>
    <w:rsid w:val="004F5559"/>
    <w:rsid w:val="00541CC1"/>
    <w:rsid w:val="005734D9"/>
    <w:rsid w:val="00593091"/>
    <w:rsid w:val="005965BE"/>
    <w:rsid w:val="00613614"/>
    <w:rsid w:val="00633305"/>
    <w:rsid w:val="00647201"/>
    <w:rsid w:val="00696478"/>
    <w:rsid w:val="006D32D3"/>
    <w:rsid w:val="006F0305"/>
    <w:rsid w:val="007372D3"/>
    <w:rsid w:val="007440D9"/>
    <w:rsid w:val="00764710"/>
    <w:rsid w:val="007D3371"/>
    <w:rsid w:val="007D67FA"/>
    <w:rsid w:val="007F1B4A"/>
    <w:rsid w:val="007F66F5"/>
    <w:rsid w:val="00816586"/>
    <w:rsid w:val="008235F7"/>
    <w:rsid w:val="0084649A"/>
    <w:rsid w:val="00862527"/>
    <w:rsid w:val="00897FC8"/>
    <w:rsid w:val="008B0271"/>
    <w:rsid w:val="00922C77"/>
    <w:rsid w:val="00935238"/>
    <w:rsid w:val="00984904"/>
    <w:rsid w:val="009A7926"/>
    <w:rsid w:val="009C1F0A"/>
    <w:rsid w:val="00A24FF5"/>
    <w:rsid w:val="00A3719A"/>
    <w:rsid w:val="00A64B12"/>
    <w:rsid w:val="00A720B9"/>
    <w:rsid w:val="00A728BF"/>
    <w:rsid w:val="00AA6728"/>
    <w:rsid w:val="00AC731F"/>
    <w:rsid w:val="00AD7BCD"/>
    <w:rsid w:val="00B04401"/>
    <w:rsid w:val="00B14D3D"/>
    <w:rsid w:val="00B632DB"/>
    <w:rsid w:val="00B92681"/>
    <w:rsid w:val="00BA0147"/>
    <w:rsid w:val="00BC23C3"/>
    <w:rsid w:val="00C22348"/>
    <w:rsid w:val="00C55518"/>
    <w:rsid w:val="00C71C97"/>
    <w:rsid w:val="00CA77B6"/>
    <w:rsid w:val="00CC000E"/>
    <w:rsid w:val="00D061A9"/>
    <w:rsid w:val="00D11F31"/>
    <w:rsid w:val="00D36990"/>
    <w:rsid w:val="00D43617"/>
    <w:rsid w:val="00D46D39"/>
    <w:rsid w:val="00D52466"/>
    <w:rsid w:val="00DA702A"/>
    <w:rsid w:val="00DB1896"/>
    <w:rsid w:val="00DC2570"/>
    <w:rsid w:val="00DE2A88"/>
    <w:rsid w:val="00E316AD"/>
    <w:rsid w:val="00E60BF0"/>
    <w:rsid w:val="00EA72F5"/>
    <w:rsid w:val="00EC0087"/>
    <w:rsid w:val="00EF282C"/>
    <w:rsid w:val="00F174A4"/>
    <w:rsid w:val="00F41DF9"/>
    <w:rsid w:val="00F711B0"/>
    <w:rsid w:val="2F8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1199</Words>
  <Characters>6836</Characters>
  <Lines>56</Lines>
  <Paragraphs>16</Paragraphs>
  <TotalTime>4</TotalTime>
  <ScaleCrop>false</ScaleCrop>
  <LinksUpToDate>false</LinksUpToDate>
  <CharactersWithSpaces>8019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2024-08-08T09:52:00Z</dcterms:created>
  <dc:creator>Vrtić Škrinjica</dc:creator>
  <cp:lastModifiedBy>Vinica</cp:lastModifiedBy>
  <cp:lastPrinted>2024-08-08T09:48:00Z</cp:lastPrinted>
  <dcterms:modified xsi:type="dcterms:W3CDTF">2024-10-22T06:52:30Z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2368C23F606E46B799A0C200D9FBBB7E_13</vt:lpwstr>
  </property>
</Properties>
</file>