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F46F2">
      <w:pPr>
        <w:rPr>
          <w:sz w:val="22"/>
        </w:rPr>
      </w:pPr>
      <w:r>
        <w:rPr>
          <w:sz w:val="22"/>
        </w:rPr>
        <w:t xml:space="preserve">                  </w:t>
      </w:r>
      <w:r>
        <w:drawing>
          <wp:inline distT="0" distB="0" distL="0" distR="0">
            <wp:extent cx="511175" cy="647700"/>
            <wp:effectExtent l="0" t="0" r="3175" b="0"/>
            <wp:docPr id="2" name="Slika 1"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GRBM"/>
                    <pic:cNvPicPr>
                      <a:picLocks noChangeAspect="1"/>
                    </pic:cNvPicPr>
                  </pic:nvPicPr>
                  <pic:blipFill>
                    <a:blip r:embed="rId7" cstate="print"/>
                    <a:srcRect/>
                    <a:stretch>
                      <a:fillRect/>
                    </a:stretch>
                  </pic:blipFill>
                  <pic:spPr>
                    <a:xfrm>
                      <a:off x="0" y="0"/>
                      <a:ext cx="511175" cy="647700"/>
                    </a:xfrm>
                    <a:prstGeom prst="rect">
                      <a:avLst/>
                    </a:prstGeom>
                    <a:noFill/>
                    <a:ln w="9525">
                      <a:noFill/>
                      <a:miter lim="800000"/>
                      <a:headEnd/>
                      <a:tailEnd/>
                    </a:ln>
                  </pic:spPr>
                </pic:pic>
              </a:graphicData>
            </a:graphic>
          </wp:inline>
        </w:drawing>
      </w:r>
    </w:p>
    <w:p w14:paraId="1ED4CC19">
      <w:pPr>
        <w:rPr>
          <w:b/>
          <w:szCs w:val="24"/>
          <w:lang w:eastAsia="zh-CN" w:bidi="hi-IN"/>
        </w:rPr>
      </w:pPr>
      <w:r>
        <w:rPr>
          <w:b/>
          <w:szCs w:val="24"/>
          <w:lang w:eastAsia="zh-CN" w:bidi="hi-IN"/>
        </w:rPr>
        <w:t>REPUBLIKA HRVATSKA</w:t>
      </w:r>
    </w:p>
    <w:p w14:paraId="64A6A93B">
      <w:pPr>
        <w:rPr>
          <w:b/>
          <w:szCs w:val="24"/>
          <w:lang w:eastAsia="zh-CN" w:bidi="hi-IN"/>
        </w:rPr>
      </w:pPr>
      <w:r>
        <w:rPr>
          <w:b/>
          <w:szCs w:val="24"/>
          <w:lang w:eastAsia="zh-CN" w:bidi="hi-IN"/>
        </w:rPr>
        <w:t xml:space="preserve">  DJEČJI VRTIĆ VINICA</w:t>
      </w:r>
    </w:p>
    <w:p w14:paraId="68B72794">
      <w:pPr>
        <w:rPr>
          <w:szCs w:val="24"/>
          <w:lang w:eastAsia="zh-CN" w:bidi="hi-IN"/>
        </w:rPr>
      </w:pPr>
      <w:r>
        <w:rPr>
          <w:szCs w:val="24"/>
          <w:lang w:eastAsia="zh-CN" w:bidi="hi-IN"/>
        </w:rPr>
        <w:t>Josipa Dumbovića 3, Marčan</w:t>
      </w:r>
    </w:p>
    <w:p w14:paraId="55764F3A">
      <w:pPr>
        <w:rPr>
          <w:szCs w:val="24"/>
          <w:lang w:eastAsia="zh-CN" w:bidi="hi-IN"/>
        </w:rPr>
      </w:pPr>
      <w:r>
        <w:rPr>
          <w:szCs w:val="24"/>
          <w:lang w:eastAsia="zh-CN" w:bidi="hi-IN"/>
        </w:rPr>
        <w:t>42207 Vinica</w:t>
      </w:r>
    </w:p>
    <w:p w14:paraId="36CA4494">
      <w:pPr>
        <w:rPr>
          <w:szCs w:val="24"/>
          <w:lang w:eastAsia="zh-CN" w:bidi="hi-IN"/>
        </w:rPr>
      </w:pPr>
      <w:r>
        <w:rPr>
          <w:szCs w:val="24"/>
          <w:lang w:eastAsia="zh-CN" w:bidi="hi-IN"/>
        </w:rPr>
        <w:t>OIB: 69170324883</w:t>
      </w:r>
    </w:p>
    <w:p w14:paraId="4176AA2B">
      <w:pPr>
        <w:rPr>
          <w:sz w:val="22"/>
        </w:rPr>
      </w:pPr>
    </w:p>
    <w:p w14:paraId="38D49CE7">
      <w:pPr>
        <w:rPr>
          <w:rFonts w:hint="default"/>
          <w:sz w:val="22"/>
          <w:lang w:val="hr-HR"/>
        </w:rPr>
      </w:pPr>
      <w:r>
        <w:rPr>
          <w:sz w:val="22"/>
        </w:rPr>
        <w:t>KLASA: 601-02/26-07/</w:t>
      </w:r>
      <w:r>
        <w:rPr>
          <w:rFonts w:hint="default"/>
          <w:sz w:val="22"/>
          <w:lang w:val="hr-HR"/>
        </w:rPr>
        <w:t>22</w:t>
      </w:r>
    </w:p>
    <w:p w14:paraId="4221C12F">
      <w:pPr>
        <w:rPr>
          <w:sz w:val="22"/>
        </w:rPr>
      </w:pPr>
      <w:r>
        <w:rPr>
          <w:sz w:val="22"/>
        </w:rPr>
        <w:t>URBROJ:2186-11-189-02-26-</w:t>
      </w:r>
    </w:p>
    <w:p w14:paraId="5C2C1677">
      <w:pPr>
        <w:rPr>
          <w:sz w:val="22"/>
        </w:rPr>
      </w:pPr>
      <w:r>
        <w:rPr>
          <w:sz w:val="22"/>
        </w:rPr>
        <w:t xml:space="preserve">Marčan, 17. srpnja 2026. </w:t>
      </w:r>
    </w:p>
    <w:p w14:paraId="703E32DB">
      <w:pPr>
        <w:rPr>
          <w:sz w:val="22"/>
        </w:rPr>
      </w:pPr>
    </w:p>
    <w:p w14:paraId="4EB549BF">
      <w:pPr>
        <w:rPr>
          <w:sz w:val="22"/>
        </w:rPr>
      </w:pPr>
    </w:p>
    <w:p w14:paraId="5410187F">
      <w:pPr>
        <w:jc w:val="center"/>
        <w:rPr>
          <w:b/>
          <w:sz w:val="28"/>
          <w:szCs w:val="24"/>
        </w:rPr>
      </w:pPr>
      <w:r>
        <w:rPr>
          <w:rFonts w:asciiTheme="minorHAnsi" w:hAnsiTheme="minorHAnsi" w:cstheme="minorHAnsi"/>
          <w:szCs w:val="24"/>
        </w:rPr>
        <w:t xml:space="preserve">   </w:t>
      </w:r>
      <w:r>
        <w:rPr>
          <w:b/>
          <w:sz w:val="28"/>
          <w:szCs w:val="24"/>
        </w:rPr>
        <w:t>ZAPISNIK</w:t>
      </w:r>
    </w:p>
    <w:p w14:paraId="0888B33B">
      <w:pPr>
        <w:jc w:val="center"/>
        <w:rPr>
          <w:b/>
          <w:sz w:val="28"/>
          <w:szCs w:val="24"/>
        </w:rPr>
      </w:pPr>
      <w:r>
        <w:rPr>
          <w:b/>
          <w:sz w:val="28"/>
          <w:szCs w:val="24"/>
        </w:rPr>
        <w:t>sa 44. sjednice Upravnog vijeća Dječjeg vrtića Vinica</w:t>
      </w:r>
    </w:p>
    <w:p w14:paraId="7F5091E8">
      <w:pPr>
        <w:rPr>
          <w:szCs w:val="24"/>
        </w:rPr>
      </w:pPr>
    </w:p>
    <w:p w14:paraId="1EB4CF93">
      <w:pPr>
        <w:rPr>
          <w:rFonts w:asciiTheme="minorHAnsi" w:hAnsiTheme="minorHAnsi" w:cstheme="minorHAnsi"/>
          <w:szCs w:val="24"/>
        </w:rPr>
      </w:pPr>
    </w:p>
    <w:p w14:paraId="7AA8ACBB">
      <w:pPr>
        <w:ind w:firstLine="708"/>
        <w:rPr>
          <w:szCs w:val="24"/>
        </w:rPr>
      </w:pPr>
      <w:r>
        <w:rPr>
          <w:szCs w:val="24"/>
        </w:rPr>
        <w:t>Sjednica je održana u prostorijama Općine Vinica i započela je u 13:00 sati dana 17. srpnja 2026. godine</w:t>
      </w:r>
    </w:p>
    <w:p w14:paraId="35B353A5">
      <w:pPr>
        <w:ind w:left="0" w:leftChars="0" w:firstLine="0" w:firstLineChars="0"/>
        <w:rPr>
          <w:szCs w:val="24"/>
        </w:rPr>
      </w:pPr>
      <w:r>
        <w:rPr>
          <w:szCs w:val="24"/>
        </w:rPr>
        <w:t>Nazočno članovi Upravnog vijeća:</w:t>
      </w:r>
    </w:p>
    <w:p w14:paraId="3B9C9E3C">
      <w:pPr>
        <w:pStyle w:val="8"/>
        <w:numPr>
          <w:ilvl w:val="0"/>
          <w:numId w:val="1"/>
        </w:numPr>
        <w:suppressAutoHyphens/>
        <w:autoSpaceDN w:val="0"/>
        <w:spacing w:after="0" w:line="240" w:lineRule="auto"/>
        <w:contextualSpacing w:val="0"/>
        <w:jc w:val="left"/>
        <w:textAlignment w:val="baseline"/>
        <w:rPr>
          <w:szCs w:val="24"/>
        </w:rPr>
      </w:pPr>
      <w:r>
        <w:rPr>
          <w:szCs w:val="24"/>
        </w:rPr>
        <w:t>Monika Kovačić – iz reda osnivača</w:t>
      </w:r>
    </w:p>
    <w:p w14:paraId="4D5B158B">
      <w:pPr>
        <w:pStyle w:val="8"/>
        <w:numPr>
          <w:ilvl w:val="0"/>
          <w:numId w:val="1"/>
        </w:numPr>
        <w:spacing w:after="160" w:line="259" w:lineRule="auto"/>
        <w:jc w:val="left"/>
        <w:rPr>
          <w:rFonts w:cstheme="minorHAnsi"/>
        </w:rPr>
      </w:pPr>
      <w:r>
        <w:rPr>
          <w:rFonts w:cstheme="minorHAnsi"/>
        </w:rPr>
        <w:t xml:space="preserve">Dora Balent Turčin – iz reda osnivača </w:t>
      </w:r>
    </w:p>
    <w:p w14:paraId="026F2D9B">
      <w:pPr>
        <w:pStyle w:val="8"/>
        <w:numPr>
          <w:ilvl w:val="0"/>
          <w:numId w:val="1"/>
        </w:numPr>
        <w:suppressAutoHyphens/>
        <w:autoSpaceDN w:val="0"/>
        <w:spacing w:after="0" w:line="240" w:lineRule="auto"/>
        <w:contextualSpacing w:val="0"/>
        <w:jc w:val="left"/>
        <w:textAlignment w:val="baseline"/>
        <w:rPr>
          <w:szCs w:val="24"/>
        </w:rPr>
      </w:pPr>
      <w:r>
        <w:rPr>
          <w:szCs w:val="24"/>
        </w:rPr>
        <w:t>Andrijana Daljavec- iz reda roditelja</w:t>
      </w:r>
    </w:p>
    <w:p w14:paraId="7E35438F">
      <w:pPr>
        <w:pStyle w:val="8"/>
        <w:numPr>
          <w:ilvl w:val="0"/>
          <w:numId w:val="1"/>
        </w:numPr>
        <w:suppressAutoHyphens/>
        <w:autoSpaceDN w:val="0"/>
        <w:spacing w:after="0" w:line="240" w:lineRule="auto"/>
        <w:contextualSpacing w:val="0"/>
        <w:jc w:val="left"/>
        <w:textAlignment w:val="baseline"/>
        <w:rPr>
          <w:szCs w:val="24"/>
        </w:rPr>
      </w:pPr>
      <w:r>
        <w:rPr>
          <w:szCs w:val="24"/>
        </w:rPr>
        <w:t>Sanja Vuksan – iz reda odgojitelja</w:t>
      </w:r>
    </w:p>
    <w:p w14:paraId="7A0ED364">
      <w:pPr>
        <w:ind w:left="0" w:leftChars="0" w:firstLine="0" w:firstLineChars="0"/>
        <w:rPr>
          <w:szCs w:val="24"/>
        </w:rPr>
      </w:pPr>
      <w:r>
        <w:rPr>
          <w:szCs w:val="24"/>
        </w:rPr>
        <w:t>Ostali nazočni:</w:t>
      </w:r>
    </w:p>
    <w:p w14:paraId="25D0A51B">
      <w:pPr>
        <w:pStyle w:val="8"/>
        <w:numPr>
          <w:ilvl w:val="3"/>
          <w:numId w:val="1"/>
        </w:numPr>
        <w:suppressAutoHyphens/>
        <w:autoSpaceDN w:val="0"/>
        <w:spacing w:after="0" w:line="240" w:lineRule="auto"/>
        <w:ind w:left="709"/>
        <w:contextualSpacing w:val="0"/>
        <w:jc w:val="left"/>
        <w:textAlignment w:val="baseline"/>
        <w:rPr>
          <w:szCs w:val="24"/>
        </w:rPr>
      </w:pPr>
      <w:r>
        <w:rPr>
          <w:szCs w:val="24"/>
        </w:rPr>
        <w:t xml:space="preserve">Ksenija Humek– ravnateljica </w:t>
      </w:r>
    </w:p>
    <w:p w14:paraId="505AC75D">
      <w:pPr>
        <w:ind w:left="360"/>
        <w:rPr>
          <w:szCs w:val="24"/>
        </w:rPr>
      </w:pPr>
    </w:p>
    <w:p w14:paraId="4AD1F8A5">
      <w:pPr>
        <w:ind w:left="0" w:firstLine="0"/>
      </w:pPr>
      <w:r>
        <w:t>Sjednicu je otvorila i vodila članica upravnog vijeća Monika Kovačić.</w:t>
      </w:r>
    </w:p>
    <w:p w14:paraId="0AFE6059">
      <w:pPr>
        <w:ind w:left="0" w:firstLine="0"/>
        <w:rPr>
          <w:rFonts w:eastAsia="Calibri"/>
        </w:rPr>
      </w:pPr>
      <w:r>
        <w:t>Utvrđeno je da postoji kvorum za pravovaljano odlučivanje te je p</w:t>
      </w:r>
      <w:r>
        <w:rPr>
          <w:rFonts w:eastAsia="Calibri"/>
        </w:rPr>
        <w:t xml:space="preserve">redložen je slijedeći dnevni red: </w:t>
      </w:r>
    </w:p>
    <w:p w14:paraId="54D67D81">
      <w:pPr>
        <w:ind w:left="0" w:firstLine="0"/>
        <w:rPr>
          <w:rFonts w:eastAsia="Calibri"/>
        </w:rPr>
      </w:pPr>
    </w:p>
    <w:p w14:paraId="5BC2F977">
      <w:pPr>
        <w:pStyle w:val="8"/>
        <w:numPr>
          <w:ilvl w:val="0"/>
          <w:numId w:val="2"/>
        </w:numPr>
        <w:tabs>
          <w:tab w:val="clear" w:pos="425"/>
        </w:tabs>
        <w:spacing w:after="0" w:line="240" w:lineRule="auto"/>
        <w:ind w:left="360" w:hanging="360"/>
        <w:rPr>
          <w:rFonts w:eastAsia="Calibri"/>
        </w:rPr>
      </w:pPr>
      <w:bookmarkStart w:id="0" w:name="_Hlk234931947"/>
      <w:r>
        <w:rPr>
          <w:rFonts w:eastAsia="Calibri"/>
        </w:rPr>
        <w:t>Usvajanje zapisnika sa 43. sjednice Upravnog vijeća Dječjeg vrtića Vinica</w:t>
      </w:r>
    </w:p>
    <w:p w14:paraId="13A31F3E">
      <w:pPr>
        <w:pStyle w:val="8"/>
        <w:numPr>
          <w:ilvl w:val="0"/>
          <w:numId w:val="2"/>
        </w:numPr>
        <w:tabs>
          <w:tab w:val="clear" w:pos="425"/>
        </w:tabs>
        <w:spacing w:after="0" w:line="240" w:lineRule="auto"/>
        <w:ind w:left="360" w:hanging="360"/>
        <w:rPr>
          <w:rFonts w:eastAsia="Calibri"/>
        </w:rPr>
      </w:pPr>
      <w:r>
        <w:rPr>
          <w:rFonts w:eastAsia="Calibri"/>
        </w:rPr>
        <w:t>Polugodišnji izvještaj o izvršenju poslovnog plana Dječjeg vrtića Vinica za 2026. godinu</w:t>
      </w:r>
    </w:p>
    <w:p w14:paraId="1C4EE99A">
      <w:pPr>
        <w:pStyle w:val="8"/>
        <w:numPr>
          <w:ilvl w:val="0"/>
          <w:numId w:val="2"/>
        </w:numPr>
        <w:tabs>
          <w:tab w:val="clear" w:pos="425"/>
        </w:tabs>
        <w:spacing w:after="0" w:line="240" w:lineRule="auto"/>
        <w:ind w:left="360" w:hanging="360"/>
        <w:rPr>
          <w:rFonts w:eastAsia="Calibri"/>
        </w:rPr>
      </w:pPr>
      <w:r>
        <w:rPr>
          <w:rFonts w:eastAsia="Calibri"/>
        </w:rPr>
        <w:t>Razno</w:t>
      </w:r>
    </w:p>
    <w:bookmarkEnd w:id="0"/>
    <w:p w14:paraId="7599668B">
      <w:pPr>
        <w:spacing w:after="0" w:line="240" w:lineRule="auto"/>
        <w:ind w:left="0" w:firstLine="0"/>
        <w:rPr>
          <w:rFonts w:eastAsia="Calibri"/>
        </w:rPr>
      </w:pPr>
    </w:p>
    <w:p w14:paraId="5A7ED68D">
      <w:pPr>
        <w:spacing w:after="0" w:line="240" w:lineRule="auto"/>
        <w:ind w:left="0" w:firstLine="0"/>
        <w:rPr>
          <w:szCs w:val="24"/>
        </w:rPr>
      </w:pPr>
      <w:r>
        <w:rPr>
          <w:szCs w:val="24"/>
        </w:rPr>
        <w:t>Dnevni red je jednoglasno usvojen.</w:t>
      </w:r>
    </w:p>
    <w:p w14:paraId="453B9CB3">
      <w:pPr>
        <w:spacing w:after="0" w:line="240" w:lineRule="auto"/>
        <w:ind w:left="0" w:firstLine="0"/>
        <w:rPr>
          <w:b/>
          <w:bCs/>
          <w:szCs w:val="24"/>
        </w:rPr>
      </w:pPr>
      <w:r>
        <w:rPr>
          <w:b/>
          <w:bCs/>
          <w:szCs w:val="24"/>
        </w:rPr>
        <w:t>1. Usvajanje zapisnika sa 43. sjednice Upravnog vijeća Dječjeg vrtića Vinica</w:t>
      </w:r>
    </w:p>
    <w:p w14:paraId="2E3A9DC0">
      <w:pPr>
        <w:spacing w:after="0" w:line="240" w:lineRule="auto"/>
        <w:ind w:left="0" w:firstLine="0"/>
        <w:rPr>
          <w:szCs w:val="24"/>
        </w:rPr>
      </w:pPr>
      <w:r>
        <w:rPr>
          <w:szCs w:val="24"/>
        </w:rPr>
        <w:t>Nakon pročitanog zapisnika sa 43. sjednice Upravnog vijeća, članica poziva nazočne članice da glasu o usvajanju Zapisnika, te konstatira da je Zapisnik prihvaćen jednoglasno.</w:t>
      </w:r>
    </w:p>
    <w:p w14:paraId="5B96BCDB">
      <w:pPr>
        <w:spacing w:after="0" w:line="240" w:lineRule="auto"/>
        <w:ind w:left="0" w:firstLine="0"/>
        <w:rPr>
          <w:szCs w:val="24"/>
        </w:rPr>
      </w:pPr>
    </w:p>
    <w:p w14:paraId="41FEA114">
      <w:pPr>
        <w:spacing w:after="0" w:line="240" w:lineRule="auto"/>
        <w:ind w:left="0" w:firstLine="0"/>
        <w:rPr>
          <w:szCs w:val="24"/>
        </w:rPr>
      </w:pPr>
      <w:bookmarkStart w:id="2" w:name="_GoBack"/>
      <w:bookmarkEnd w:id="2"/>
      <w:r>
        <w:rPr>
          <w:b/>
          <w:bCs/>
          <w:szCs w:val="24"/>
        </w:rPr>
        <w:t>2.Polugodišnji izvještaj o izvršenju poslovnog plana Dječjeg vrtića Vinica za 2026. godinu</w:t>
      </w:r>
    </w:p>
    <w:p w14:paraId="2261FBD6">
      <w:pPr>
        <w:spacing w:after="0" w:line="240" w:lineRule="auto"/>
        <w:ind w:left="0" w:firstLine="0"/>
        <w:rPr>
          <w:b/>
          <w:bCs/>
          <w:szCs w:val="24"/>
        </w:rPr>
      </w:pPr>
    </w:p>
    <w:p w14:paraId="21462A09">
      <w:pPr>
        <w:spacing w:after="0" w:line="240" w:lineRule="auto"/>
        <w:ind w:left="0" w:firstLine="0"/>
        <w:rPr>
          <w:rFonts w:eastAsia="Calibri"/>
        </w:rPr>
      </w:pPr>
      <w:r>
        <w:rPr>
          <w:rFonts w:eastAsia="Calibri"/>
        </w:rPr>
        <w:t>Ravnateljica Dječjeg Vratića Vinica dala je riječ članici upravnog vijeća, a ujedno i voditeljici financija Dječjeg vrtića Vinica da obrazloži polugodišnje izvršenje poslovnog plana Dječjeg vrtića Vinica za 2026. godinu.</w:t>
      </w:r>
    </w:p>
    <w:p w14:paraId="7C59A4BC">
      <w:pPr>
        <w:ind w:left="0" w:firstLine="0"/>
        <w:rPr>
          <w:rFonts w:eastAsia="Calibri"/>
        </w:rPr>
      </w:pPr>
    </w:p>
    <w:p w14:paraId="555283D0">
      <w:pPr>
        <w:ind w:left="0" w:firstLine="0"/>
        <w:rPr>
          <w:rFonts w:eastAsia="Calibri"/>
        </w:rPr>
      </w:pPr>
      <w:r>
        <w:rPr>
          <w:rFonts w:eastAsia="Calibri"/>
        </w:rPr>
        <w:t xml:space="preserve">Monika Kovačić izvijestila je kako u razdoblju od 01.01.– 30.06.2026. godine, Dječji vrtić Vinica ostvario je prihode poslovanja u iznosu od </w:t>
      </w:r>
      <w:r>
        <w:rPr>
          <w:rFonts w:eastAsia="Calibri"/>
          <w:b/>
          <w:bCs/>
        </w:rPr>
        <w:t>222.068,62</w:t>
      </w:r>
      <w:r>
        <w:rPr>
          <w:rFonts w:eastAsia="Calibri"/>
        </w:rPr>
        <w:t xml:space="preserve"> </w:t>
      </w:r>
      <w:r>
        <w:rPr>
          <w:rFonts w:eastAsia="Calibri"/>
          <w:b/>
          <w:bCs/>
        </w:rPr>
        <w:t xml:space="preserve">eura </w:t>
      </w:r>
      <w:r>
        <w:rPr>
          <w:rFonts w:eastAsia="Calibri"/>
        </w:rPr>
        <w:t>i to kako slijedi:</w:t>
      </w:r>
    </w:p>
    <w:p w14:paraId="023F079A">
      <w:pPr>
        <w:ind w:left="0" w:firstLine="0"/>
        <w:rPr>
          <w:rFonts w:eastAsia="Calibri"/>
        </w:rPr>
      </w:pPr>
    </w:p>
    <w:p w14:paraId="5997A4F1">
      <w:pPr>
        <w:ind w:left="10"/>
        <w:rPr>
          <w:rFonts w:eastAsia="Calibri"/>
        </w:rPr>
      </w:pPr>
      <w:r>
        <w:rPr>
          <w:rFonts w:eastAsia="Calibri"/>
        </w:rPr>
        <w:t xml:space="preserve">Ostali nespomenuti prihodi – 76.595,60 eura, ostvareni su 94,58 % u odnosu na prethodno razdoblje u kojem su iznosili 80.187,31 eura. Prihodi se odnose na ekonomsku cijenu dječjeg vrtića, odnosno participaciju roditelja u ekonomskoj cijeni. Razlog smanjenja je manji broj upisane djece u dječji vrtić koji je rezultirao manjkom prihoda s te osnove. </w:t>
      </w:r>
    </w:p>
    <w:p w14:paraId="299F9E59">
      <w:pPr>
        <w:ind w:left="10"/>
        <w:rPr>
          <w:rFonts w:eastAsia="Calibri"/>
        </w:rPr>
      </w:pPr>
      <w:r>
        <w:rPr>
          <w:rFonts w:eastAsia="Calibri"/>
        </w:rPr>
        <w:t xml:space="preserve">Prihodi od financijske imovine – 0,11 eura odnose se ne kamate na oročena sredstva i depozite po viđenju, ostvarene su sa 4,28 %, dok su u proteklom izvještajnom razdoblju iznosile 2,57 eura. Razlog smanjenja je što se sa 08.01.2026. žiro račun Dječjeg vrtića Vinica zatvorio zbog prelaska na Jedinstveni račun Riznice proračuna i uspostave Objedinjene glavne knjige te samim time kamate na oročena sredstva i depozite po viđenju više nisu prihod dječjeg vrtića Vinica. </w:t>
      </w:r>
    </w:p>
    <w:p w14:paraId="6B8A8C47">
      <w:pPr>
        <w:ind w:left="10"/>
        <w:rPr>
          <w:rFonts w:eastAsia="Calibri"/>
        </w:rPr>
      </w:pPr>
      <w:r>
        <w:rPr>
          <w:rFonts w:eastAsia="Calibri"/>
        </w:rPr>
        <w:t xml:space="preserve">Tekuće donacije –  512,05 eura u odnosu na proteklo razdoblje gdje su iznosile 3.347,26 eura, ostvareni indeks je 15,30 %, a razlog smanjenja je što su prethodnom razdoblju prema Ugovoru o donaciji od HEP-a dobivene i donacije za provođenje manifestacije „Vinkajček 2025.“ što u ovom izvještajnom razdoblju nije bio slučaj. </w:t>
      </w:r>
    </w:p>
    <w:p w14:paraId="3D3478BA">
      <w:pPr>
        <w:ind w:left="10"/>
        <w:rPr>
          <w:rFonts w:eastAsia="Calibri"/>
        </w:rPr>
      </w:pPr>
      <w:r>
        <w:rPr>
          <w:rFonts w:eastAsia="Calibri"/>
        </w:rPr>
        <w:t xml:space="preserve">Prihodi iz nadležnog proračuna za financiranje rashoda poslovanja –144.960,86 eura, dok su u prethodnom razdoblju iznosili 150.080,00 eura, ostvareni su u 96,59 % u odnosu na prethodno razdoblje. Odnose se na prihode iz nadležnog proračuna Općine Vinica, a razlog smanjenja je manji broj upisne djece u pedagošku godinu 2025./2026. koje je rezultat i u konačnici prihoda s ove osnove. </w:t>
      </w:r>
    </w:p>
    <w:p w14:paraId="21085801">
      <w:pPr>
        <w:ind w:left="0" w:firstLine="0"/>
        <w:rPr>
          <w:rFonts w:eastAsia="Calibri"/>
        </w:rPr>
      </w:pPr>
    </w:p>
    <w:p w14:paraId="5824EF6F">
      <w:pPr>
        <w:ind w:left="0" w:firstLine="0"/>
        <w:rPr>
          <w:rFonts w:eastAsia="Calibri"/>
        </w:rPr>
      </w:pPr>
      <w:r>
        <w:rPr>
          <w:rFonts w:eastAsia="Calibri"/>
        </w:rPr>
        <w:t xml:space="preserve">Promatrajući ukupni indeks ostvarenja/izvršenja vidljivo je da su prihodi u blagom padu obzirom na prethodno razdoblje nastali kao rezultat smanjenja upisne kvote djece u pedagošku godinu 2025./2026. te smanjenjem broja djece došlo je do smanjenja ukupnih prihoda. Jednako tako u promatranom razdoblju prošle godine, ostvareni su prihodi s osnove kapitalnih pomoći od izvanproračunskih korisnika koji se odnose na naknade za refundacije bolovanja na teret HZZO  dok se u ovom obračunskom razdoblju primjenjuje drugačije knjiženje i ta stavka se ukinula, također u ovom izvještajnom razdoblju nije bilo ostvarenih prihoda s osnove Tekuće pomoći proračunskim korisnicima iz proračuna koji im nije nadležan, dok se u proteklom razdoblju ostvario prihod od 480,00 eura. </w:t>
      </w:r>
    </w:p>
    <w:p w14:paraId="22B76C7F">
      <w:pPr>
        <w:ind w:left="0" w:firstLine="0"/>
        <w:rPr>
          <w:rFonts w:eastAsia="Calibri"/>
        </w:rPr>
      </w:pPr>
    </w:p>
    <w:p w14:paraId="6F5D6EFA">
      <w:pPr>
        <w:ind w:left="0" w:firstLine="0"/>
        <w:rPr>
          <w:rFonts w:eastAsia="Calibri"/>
        </w:rPr>
      </w:pPr>
      <w:r>
        <w:rPr>
          <w:rFonts w:eastAsia="Calibri"/>
        </w:rPr>
        <w:t>U razdoblju od 01.01. – 30.06.2026. godine Dječji vrtić Vinica ostvario je ukupne rashode poslovanja u iznosu od 248.926,50 eura, ostvareni su u indeksu 107,18% u odnosu na prethodno razdoblje kada su rashodi iznosili 232.255,72 eura.</w:t>
      </w:r>
    </w:p>
    <w:p w14:paraId="16E5DAF5">
      <w:pPr>
        <w:ind w:left="269" w:firstLine="0"/>
        <w:rPr>
          <w:rFonts w:eastAsia="Calibri"/>
        </w:rPr>
      </w:pPr>
    </w:p>
    <w:p w14:paraId="6E77593D">
      <w:pPr>
        <w:ind w:left="0" w:firstLine="0"/>
        <w:rPr>
          <w:rFonts w:eastAsia="Calibri"/>
        </w:rPr>
      </w:pPr>
      <w:r>
        <w:rPr>
          <w:rFonts w:eastAsia="Calibri"/>
        </w:rPr>
        <w:t>Rashodi za zaposlene –208.068,23 eura, dok su u proteklom izvještajnom razdoblju iznosili 195.425,82 eura ostvareni indeks rashoda je 106,47 % u odnosu na prethodno razdoblje, sastoje se od:</w:t>
      </w:r>
    </w:p>
    <w:p w14:paraId="73A77311">
      <w:pPr>
        <w:pStyle w:val="8"/>
        <w:numPr>
          <w:ilvl w:val="0"/>
          <w:numId w:val="3"/>
        </w:numPr>
        <w:ind w:left="360"/>
        <w:rPr>
          <w:rFonts w:eastAsia="Calibri"/>
        </w:rPr>
      </w:pPr>
      <w:r>
        <w:rPr>
          <w:rFonts w:eastAsia="Calibri"/>
        </w:rPr>
        <w:t>plaće za redovan rad u iznosu od 175.766,66 eura</w:t>
      </w:r>
    </w:p>
    <w:p w14:paraId="79F64164">
      <w:pPr>
        <w:pStyle w:val="8"/>
        <w:numPr>
          <w:ilvl w:val="0"/>
          <w:numId w:val="3"/>
        </w:numPr>
        <w:ind w:left="360"/>
        <w:rPr>
          <w:rFonts w:eastAsia="Calibri"/>
        </w:rPr>
      </w:pPr>
      <w:r>
        <w:rPr>
          <w:rFonts w:eastAsia="Calibri"/>
        </w:rPr>
        <w:t>ostali rashodi za zaposlene (uskrsnica, nagrade) u iznosu od                          3.300,00 eura</w:t>
      </w:r>
    </w:p>
    <w:p w14:paraId="7737A105">
      <w:pPr>
        <w:pStyle w:val="8"/>
        <w:numPr>
          <w:ilvl w:val="0"/>
          <w:numId w:val="3"/>
        </w:numPr>
        <w:ind w:left="360"/>
        <w:rPr>
          <w:rFonts w:eastAsia="Calibri"/>
        </w:rPr>
      </w:pPr>
      <w:r>
        <w:rPr>
          <w:rFonts w:eastAsia="Calibri"/>
        </w:rPr>
        <w:t>doprinosi na plaću u iznosu od 29.001,57 eura</w:t>
      </w:r>
    </w:p>
    <w:p w14:paraId="2C293B39">
      <w:pPr>
        <w:ind w:left="0" w:firstLine="0"/>
        <w:rPr>
          <w:rFonts w:eastAsia="Calibri"/>
        </w:rPr>
      </w:pPr>
    </w:p>
    <w:p w14:paraId="44D1BDAB">
      <w:pPr>
        <w:ind w:left="0" w:firstLine="0"/>
        <w:rPr>
          <w:rFonts w:eastAsia="Calibri"/>
        </w:rPr>
      </w:pPr>
      <w:r>
        <w:rPr>
          <w:rFonts w:eastAsia="Calibri"/>
        </w:rPr>
        <w:t xml:space="preserve">U </w:t>
      </w:r>
      <w:bookmarkStart w:id="1" w:name="_Hlk235163962"/>
      <w:r>
        <w:rPr>
          <w:rFonts w:eastAsia="Calibri"/>
        </w:rPr>
        <w:t xml:space="preserve">odnosu na promatrano razdoblje prethodne godine </w:t>
      </w:r>
      <w:bookmarkEnd w:id="1"/>
      <w:r>
        <w:rPr>
          <w:rFonts w:eastAsia="Calibri"/>
        </w:rPr>
        <w:t>vidljivo je povećanje plaće za redovan rad te doprinosa na plaću za obvezno zdravstveno osiguranje koji su nastali zbog usklađenja sa čl. 51. st. 1. Zakona o predškolskom odgoju i obrazovanju („Narodne novine“ 10/97, 107/07, 94/13, 89/19, 57/22, 101/23), ali i povećanja osnovice za obračun plaća zaposlenih u Dječjem vrtiću Vinica sa 957,00 eura  na 1.004,87 eura od rujna 2025. godine. Ostali rashodi za zaposlene iznose 3.300,00 eura koji se odnose na nagrade za radne rezultate te prigodnu nagradu povodom Uskrsa. U odnosu na promatrano razdoblje prethodne godine, ostali nenavedeni rashodi iznosili su 11.314,16 eura. Razlog manje izvršenih rashoda u odnosu na promatrano razdoblje prethodne godine je zbog isplate regresa koji će biti isplaćen uz plaću za lipanj u srpnju 2026., te manji iznos isplaćenih nagrada za radne rezultate.</w:t>
      </w:r>
    </w:p>
    <w:p w14:paraId="097FE32D">
      <w:pPr>
        <w:ind w:left="0" w:firstLine="0"/>
        <w:rPr>
          <w:rFonts w:eastAsia="Calibri"/>
        </w:rPr>
      </w:pPr>
    </w:p>
    <w:p w14:paraId="3D66194B">
      <w:pPr>
        <w:ind w:left="0" w:firstLine="0"/>
        <w:rPr>
          <w:rFonts w:eastAsia="Calibri"/>
        </w:rPr>
      </w:pPr>
      <w:r>
        <w:rPr>
          <w:rFonts w:eastAsia="Calibri"/>
        </w:rPr>
        <w:t>Materijalni rashodi – 40.827,70 eur, dok su za prethodno razdoblje koje je iznosili 36.385,17 eura ostvareni su u indeksu 112,21 %  u odnosu na prethodno razdoblje, a sastoje se od:</w:t>
      </w:r>
    </w:p>
    <w:p w14:paraId="7BC384F1">
      <w:pPr>
        <w:ind w:left="0" w:firstLine="0"/>
        <w:rPr>
          <w:rFonts w:eastAsia="Calibri"/>
        </w:rPr>
      </w:pPr>
    </w:p>
    <w:p w14:paraId="4773E8CA">
      <w:pPr>
        <w:pStyle w:val="8"/>
        <w:numPr>
          <w:ilvl w:val="0"/>
          <w:numId w:val="3"/>
        </w:numPr>
        <w:rPr>
          <w:rFonts w:eastAsia="Calibri"/>
        </w:rPr>
      </w:pPr>
      <w:r>
        <w:rPr>
          <w:rFonts w:eastAsia="Calibri"/>
          <w:i/>
          <w:iCs/>
        </w:rPr>
        <w:t>naknade troškova zaposlenima</w:t>
      </w:r>
      <w:r>
        <w:rPr>
          <w:rFonts w:eastAsia="Calibri"/>
        </w:rPr>
        <w:t xml:space="preserve"> u iznosu od 5.471,37 eur, a u prethodnom razdoblju iznosili su 6.577,45 eura, ostvareni je indeks 83,18 % u odnosu na prethodno razdoblje  (sastoje se od: službena putovanja u iznosu od 1.709,20 eura,  naknade za prijevoz u iznosu od 2.657,77 eura te stručno usavršavanje zaposlenika 1.104,40 eura)</w:t>
      </w:r>
    </w:p>
    <w:p w14:paraId="44E44220">
      <w:pPr>
        <w:pStyle w:val="8"/>
        <w:numPr>
          <w:ilvl w:val="0"/>
          <w:numId w:val="3"/>
        </w:numPr>
        <w:rPr>
          <w:rFonts w:eastAsia="Calibri"/>
        </w:rPr>
      </w:pPr>
      <w:r>
        <w:rPr>
          <w:rFonts w:eastAsia="Calibri"/>
          <w:i/>
          <w:iCs/>
        </w:rPr>
        <w:t>rashoda za materijal i energiju</w:t>
      </w:r>
      <w:r>
        <w:rPr>
          <w:rFonts w:eastAsia="Calibri"/>
        </w:rPr>
        <w:t xml:space="preserve"> u iznosu od 21.291,63 eura, dok je u prethodnom razdoblju iznosilo 20.681,29 eura, ostvareni su u indeksu od 102,95 % u odnosu na prethodno razdoblje  (sastoje se od: uredski materijal i ostali materijalni rashodi u iznosu od 2.902,26 eura materijal i sirovine u iznosu od 11.442,12 eura, energija u iznosu od 4.903,17 eura, materijal i dijelovi za tekuće i investicijsko održavanje u iznosu od 104,30 eura, sitni inventar u iznosu od 1.615,00 eura)</w:t>
      </w:r>
    </w:p>
    <w:p w14:paraId="03C9B041">
      <w:pPr>
        <w:pStyle w:val="8"/>
        <w:numPr>
          <w:ilvl w:val="0"/>
          <w:numId w:val="3"/>
        </w:numPr>
        <w:rPr>
          <w:rFonts w:eastAsia="Calibri"/>
        </w:rPr>
      </w:pPr>
      <w:r>
        <w:rPr>
          <w:rFonts w:eastAsia="Calibri"/>
          <w:i/>
          <w:iCs/>
        </w:rPr>
        <w:t>rashoda za usluge</w:t>
      </w:r>
      <w:r>
        <w:rPr>
          <w:rFonts w:eastAsia="Calibri"/>
        </w:rPr>
        <w:t xml:space="preserve"> u iznosu od 8.522,34 eura ostvareni su 328,85 % u odnosu na prethodno razdoblje kada je ostvareno 2.591,56 eura (sastoje se od: usluga telefona, pošte i prijevoza u iznosu od 770,69 eura, komunalne usluge u iznosu od 1.174,01 eura, zdravstvene i veterinarske usluge u iznosu od 440,46 eura, računalne usluge u iznosu od 1.017,10 eura te usluge tekućeg i investicijskog održavanja 4.005,19 eura)</w:t>
      </w:r>
    </w:p>
    <w:p w14:paraId="6B7B4CEE">
      <w:pPr>
        <w:pStyle w:val="8"/>
        <w:numPr>
          <w:ilvl w:val="0"/>
          <w:numId w:val="3"/>
        </w:numPr>
        <w:rPr>
          <w:rFonts w:eastAsia="Calibri"/>
        </w:rPr>
      </w:pPr>
      <w:r>
        <w:rPr>
          <w:rFonts w:eastAsia="Calibri"/>
          <w:i/>
          <w:iCs/>
        </w:rPr>
        <w:t>ostali nespomenutih rashodi poslovanja</w:t>
      </w:r>
      <w:r>
        <w:rPr>
          <w:rFonts w:eastAsia="Calibri"/>
        </w:rPr>
        <w:t xml:space="preserve"> u iznosu od 5.542,36 eura, dok su u prethodnom razdoblju iznosili 6.534,87 eura, ostvareni su 84,81 % u odnosu na prethodno razdoblje (sastoje se od: naknade za rad predstavničkih i izvršnih tijela, povjerenstva i slično u iznosu od 674,72 eura, ostali nespomenuti rashodi poslovanja u iznosu od 4.867,64  eura)</w:t>
      </w:r>
    </w:p>
    <w:p w14:paraId="745291C7">
      <w:pPr>
        <w:rPr>
          <w:rFonts w:eastAsia="Calibri"/>
        </w:rPr>
      </w:pPr>
    </w:p>
    <w:p w14:paraId="744343D0">
      <w:pPr>
        <w:ind w:left="0" w:firstLine="0"/>
        <w:rPr>
          <w:rFonts w:eastAsia="Calibri"/>
        </w:rPr>
      </w:pPr>
      <w:r>
        <w:rPr>
          <w:rFonts w:eastAsia="Calibri"/>
        </w:rPr>
        <w:t xml:space="preserve">U odnosu na promatrano razdoblje prethodne godine vidljivo je povećanje rashoda za usluge koji se odnose na usluge tekućeg investicijskog održavanja gdje se uređivala postojeća dotrajala alatnica u dječju maštaonicu na otvorenom kako bi se omogućilo rad skupine na svježem zraku; uređenje dvorišta dječjeg vrtića u vidu sadnje novih sadnica, cvijeća te uređenje okoliša vrtića. U ovoj skupini povećali su se i rashodi za računalne usluge koje uključuju uz postojeće u ovom promatranom razdoblju i usluge vođenja i ažuriranja internet stranice dječjeg vrtića, dok u prethodnom razdoblju nije bilo tog troška. </w:t>
      </w:r>
    </w:p>
    <w:p w14:paraId="538D7E6B">
      <w:pPr>
        <w:ind w:left="0" w:firstLine="0"/>
        <w:rPr>
          <w:rFonts w:eastAsia="Calibri"/>
        </w:rPr>
      </w:pPr>
    </w:p>
    <w:p w14:paraId="7637B273">
      <w:pPr>
        <w:ind w:left="10"/>
        <w:rPr>
          <w:rFonts w:eastAsia="Calibri"/>
        </w:rPr>
      </w:pPr>
      <w:r>
        <w:rPr>
          <w:rFonts w:eastAsia="Calibri"/>
        </w:rPr>
        <w:t>Financijski rashodi – 30,57 eura dok su u prethodnom razdoblju iznosili 444,73 eura,</w:t>
      </w:r>
      <w:r>
        <w:rPr>
          <w:rFonts w:eastAsia="Calibri"/>
          <w:b/>
          <w:bCs/>
        </w:rPr>
        <w:t xml:space="preserve"> </w:t>
      </w:r>
      <w:r>
        <w:rPr>
          <w:rFonts w:eastAsia="Calibri"/>
        </w:rPr>
        <w:t xml:space="preserve">ostvareni su sa 6,87 % u odnosu na planirano, a odnose se na bankovne usluge i usluge platnog prometa. </w:t>
      </w:r>
    </w:p>
    <w:p w14:paraId="51C5CEFA">
      <w:pPr>
        <w:ind w:left="0" w:firstLine="0"/>
        <w:rPr>
          <w:rFonts w:eastAsia="Calibri"/>
        </w:rPr>
      </w:pPr>
      <w:r>
        <w:rPr>
          <w:rFonts w:eastAsia="Calibri"/>
        </w:rPr>
        <w:t xml:space="preserve">Obzirom na već spomenuto zatvaranje žiro računa dječjeg vrtića te uspostavu Objedinjene glavne knjige i Jedinstvenog računa riznice proračuna Općine Vinica, kategorija naknade za vođenje računa je ukinuta, međutim navedeni financijski se rashodi odnose na zatezne kamate u ovom promatranom razdoblju. </w:t>
      </w:r>
    </w:p>
    <w:p w14:paraId="7D5EAB30">
      <w:pPr>
        <w:ind w:left="0" w:firstLine="0"/>
        <w:rPr>
          <w:rFonts w:eastAsia="Calibri"/>
        </w:rPr>
      </w:pPr>
    </w:p>
    <w:p w14:paraId="2CA2278F">
      <w:pPr>
        <w:ind w:left="10"/>
        <w:rPr>
          <w:rFonts w:eastAsia="Calibri"/>
        </w:rPr>
      </w:pPr>
      <w:r>
        <w:rPr>
          <w:rFonts w:eastAsia="Calibri"/>
        </w:rPr>
        <w:t xml:space="preserve">Rashodi za nabavu nefinancijske imovine – 6.912,50 eura, odnosi se na nabavu opreme odnosno stolova i klupa za vanjski dio dječjeg vrtića koji su izvršeni u iznosu od 3.100,00 eur te ulaganje u tuđu imovinu gdje se postavljala zaštitna ograda oko terase novog dijela dječjeg vrtića 3.812,50 eura. U proteklom razdoblju nije bilo evidentiranih rashoda za nabavu nefinancijske imovine. </w:t>
      </w:r>
    </w:p>
    <w:p w14:paraId="5799C93D">
      <w:pPr>
        <w:ind w:left="10"/>
        <w:rPr>
          <w:rFonts w:eastAsia="Calibri"/>
        </w:rPr>
      </w:pPr>
    </w:p>
    <w:p w14:paraId="6813A340">
      <w:pPr>
        <w:ind w:left="0" w:firstLine="0"/>
        <w:rPr>
          <w:rFonts w:eastAsia="Calibri"/>
        </w:rPr>
      </w:pPr>
      <w:r>
        <w:rPr>
          <w:rFonts w:eastAsia="Calibri"/>
        </w:rPr>
        <w:t xml:space="preserve">U Promatranom izvještajnom razdoblju 01.01.-30.06.2026. godine, ukupno prihodi i primici ostvareni su u iznosu 222.068,62 eura, a u prethodnom razdoblju iznosili su 234.787,81 eura. Ukupni rashodi i izdaci ostvareni su u iznosu od 255.839,00 eura, dok su u prethodnom razdoblju iznosili 232.255,72 eura što rezultira manjkom prihoda i primitaka u iznosu od 33.770,38 eura te obzirom na preneseni višak iz 2025. godine koji iznosi 21.858,85 eura, Dječji vrtić Vinica ostvario je manjak prihoda poslovanja u iznosu od 11.911,53 eura. </w:t>
      </w:r>
    </w:p>
    <w:p w14:paraId="546AC755">
      <w:pPr>
        <w:ind w:left="0" w:firstLine="0"/>
        <w:rPr>
          <w:rFonts w:eastAsia="Calibri"/>
        </w:rPr>
      </w:pPr>
      <w:r>
        <w:rPr>
          <w:rFonts w:eastAsia="Calibri"/>
        </w:rPr>
        <w:t xml:space="preserve">Na dan 30.06.2026. godine manjak Dječjeg vrtića Vinica iznosi 11.911,53 eura. </w:t>
      </w:r>
    </w:p>
    <w:p w14:paraId="1F6DF61A">
      <w:pPr>
        <w:ind w:left="0" w:firstLine="0"/>
        <w:rPr>
          <w:rFonts w:eastAsia="Calibri"/>
        </w:rPr>
      </w:pPr>
      <w:r>
        <w:rPr>
          <w:rFonts w:eastAsia="Calibri"/>
        </w:rPr>
        <w:t xml:space="preserve">Na dan 30.06.2026. podmirene su sve dospjele obveze Dječjeg vrtića Vinica. </w:t>
      </w:r>
    </w:p>
    <w:p w14:paraId="5886FE56">
      <w:pPr>
        <w:ind w:left="0" w:firstLine="0"/>
        <w:rPr>
          <w:rFonts w:eastAsia="Calibri"/>
        </w:rPr>
      </w:pPr>
    </w:p>
    <w:p w14:paraId="77679B58">
      <w:pPr>
        <w:ind w:left="0" w:firstLine="0"/>
        <w:rPr>
          <w:rFonts w:eastAsia="Calibri"/>
        </w:rPr>
      </w:pPr>
      <w:r>
        <w:rPr>
          <w:rFonts w:eastAsia="Calibri"/>
        </w:rPr>
        <w:t>Na dan 01.01.2026. stanje na računu Dječjeg vrtića Vinica iznosilo je  56.231,35 eura.</w:t>
      </w:r>
    </w:p>
    <w:p w14:paraId="5CBF7248">
      <w:pPr>
        <w:ind w:left="0" w:firstLine="0"/>
        <w:rPr>
          <w:rFonts w:eastAsia="Calibri"/>
        </w:rPr>
      </w:pPr>
      <w:r>
        <w:rPr>
          <w:rFonts w:eastAsia="Calibri"/>
        </w:rPr>
        <w:t>Stanje na računu na dan 30.06.2026. godine iznosi 0,00 eura.</w:t>
      </w:r>
    </w:p>
    <w:p w14:paraId="379022FA">
      <w:pPr>
        <w:ind w:left="0" w:firstLine="0"/>
        <w:rPr>
          <w:rFonts w:eastAsia="Calibri"/>
        </w:rPr>
      </w:pPr>
      <w:r>
        <w:rPr>
          <w:rFonts w:eastAsia="Calibri"/>
        </w:rPr>
        <w:t>Stanje u blagajni na dan 30.06.2026. godine iznosi 0,00 eura.</w:t>
      </w:r>
    </w:p>
    <w:p w14:paraId="2F9A9D19">
      <w:pPr>
        <w:ind w:left="0" w:firstLine="0"/>
        <w:rPr>
          <w:rFonts w:eastAsia="Calibri"/>
        </w:rPr>
      </w:pPr>
      <w:r>
        <w:rPr>
          <w:rFonts w:eastAsia="Calibri"/>
        </w:rPr>
        <w:t xml:space="preserve">Ukupno stanje na računu i blagajni s danom 30.06.2026. godine iznosi 0,00 eura, obzirom na prelazak u Jedinstveni račun riznice proračuna Općine Vinica. </w:t>
      </w:r>
    </w:p>
    <w:p w14:paraId="59667BED">
      <w:pPr>
        <w:ind w:left="0" w:firstLine="0"/>
        <w:rPr>
          <w:rFonts w:eastAsia="Calibri"/>
        </w:rPr>
      </w:pPr>
    </w:p>
    <w:p w14:paraId="4A883155">
      <w:pPr>
        <w:ind w:left="0" w:firstLine="0"/>
        <w:rPr>
          <w:rFonts w:eastAsia="Calibri"/>
        </w:rPr>
      </w:pPr>
      <w:r>
        <w:rPr>
          <w:rFonts w:eastAsia="Calibri"/>
        </w:rPr>
        <w:t>Članica vijeća točku je stavila na glasanje te je Upravno vijeće jednoglasno prihvatilo Polugodišnji izvještaj o izvršenju poslovnog plana Dječjeg vrtića Vinica za 2026. godinu.</w:t>
      </w:r>
    </w:p>
    <w:p w14:paraId="2B15D44B">
      <w:pPr>
        <w:ind w:left="0" w:firstLine="0"/>
        <w:rPr>
          <w:rFonts w:eastAsia="Calibri"/>
        </w:rPr>
      </w:pPr>
    </w:p>
    <w:p w14:paraId="7D942EB1">
      <w:pPr>
        <w:spacing w:after="0" w:line="240" w:lineRule="auto"/>
        <w:ind w:left="0" w:firstLine="0"/>
        <w:rPr>
          <w:rFonts w:eastAsia="Calibri"/>
          <w:b/>
          <w:bCs/>
        </w:rPr>
      </w:pPr>
      <w:r>
        <w:rPr>
          <w:rFonts w:eastAsia="Calibri"/>
          <w:b/>
          <w:bCs/>
        </w:rPr>
        <w:t>3. Razno</w:t>
      </w:r>
    </w:p>
    <w:p w14:paraId="53F7C3EA">
      <w:pPr>
        <w:ind w:left="0" w:firstLine="0"/>
        <w:rPr>
          <w:rFonts w:eastAsia="Calibri"/>
          <w:b/>
          <w:bCs/>
        </w:rPr>
      </w:pPr>
    </w:p>
    <w:p w14:paraId="197451AC">
      <w:pPr>
        <w:ind w:left="0" w:firstLine="0"/>
        <w:rPr>
          <w:szCs w:val="24"/>
        </w:rPr>
      </w:pPr>
      <w:r>
        <w:rPr>
          <w:szCs w:val="24"/>
        </w:rPr>
        <w:t>Pod točkom Razno ravnateljica je izvijestila članove Upravnog vijeća da je u sklopu projekta Općine Vinica provedena i završena aktivnost plivanja za djecu predškolske dobi.</w:t>
      </w:r>
    </w:p>
    <w:p w14:paraId="1E6E053C">
      <w:pPr>
        <w:ind w:left="0" w:firstLine="0"/>
        <w:rPr>
          <w:szCs w:val="24"/>
        </w:rPr>
      </w:pPr>
      <w:r>
        <w:rPr>
          <w:szCs w:val="24"/>
        </w:rPr>
        <w:t>Nadalje, ravnateljica je pozvala članove Upravnog vijeća na svečanu dodjelu nagrade koju je Dječji vrtić Vinica osvojio za 2. mjesto u izboru za Najbolji vrtić općine 2026., u sklopu projekta Načelnik.hr, koji je tijekom lipnja organizirao izbor za Najljepši i Najbolji vrtić 2026.</w:t>
      </w:r>
    </w:p>
    <w:p w14:paraId="7DCB88CA">
      <w:pPr>
        <w:ind w:left="0" w:firstLine="0"/>
        <w:rPr>
          <w:szCs w:val="24"/>
        </w:rPr>
      </w:pPr>
      <w:r>
        <w:rPr>
          <w:szCs w:val="24"/>
        </w:rPr>
        <w:t>Ravnateljica je također predložila izradu idejnog rješenja za uređenje potkrovlja vrtića, u svrhu osiguranja dodatnog prostora za provedbu odgojno-obrazovnih i drugih aktivnosti vrtića.</w:t>
      </w:r>
    </w:p>
    <w:p w14:paraId="1EAB2328">
      <w:pPr>
        <w:ind w:left="0" w:firstLine="0"/>
        <w:rPr>
          <w:szCs w:val="24"/>
        </w:rPr>
      </w:pPr>
      <w:r>
        <w:rPr>
          <w:szCs w:val="24"/>
        </w:rPr>
        <w:t>Budući da više nije bilo informacija, a dnevni red za današnju sjednicu je iscrpljen, članica Upravnog vijeća zaključuje rad 44. sjednice Upravnog vijeća DV Vinica u 14:02 sati.</w:t>
      </w:r>
    </w:p>
    <w:p w14:paraId="5922DC92">
      <w:pPr>
        <w:ind w:left="0" w:firstLine="0"/>
        <w:rPr>
          <w:rFonts w:eastAsia="Calibri"/>
        </w:rPr>
      </w:pPr>
    </w:p>
    <w:p w14:paraId="46E5F18F">
      <w:pPr>
        <w:ind w:left="0" w:firstLine="0"/>
        <w:rPr>
          <w:rFonts w:eastAsia="Calibri"/>
        </w:rPr>
      </w:pPr>
    </w:p>
    <w:p w14:paraId="4C045F82">
      <w:pPr>
        <w:ind w:left="0" w:firstLine="0"/>
        <w:rPr>
          <w:rFonts w:eastAsia="Calibri"/>
        </w:rPr>
      </w:pPr>
    </w:p>
    <w:p w14:paraId="186D3BEC">
      <w:pPr>
        <w:autoSpaceDN w:val="0"/>
        <w:spacing w:after="0" w:line="240" w:lineRule="auto"/>
        <w:ind w:left="0" w:firstLine="0"/>
        <w:jc w:val="left"/>
        <w:textAlignment w:val="baseline"/>
        <w:rPr>
          <w:rFonts w:eastAsia="Calibri"/>
          <w:color w:val="auto"/>
          <w:kern w:val="3"/>
          <w:sz w:val="22"/>
          <w:lang w:eastAsia="en-US"/>
        </w:rPr>
      </w:pPr>
    </w:p>
    <w:p w14:paraId="31A09CAF">
      <w:pPr>
        <w:autoSpaceDN w:val="0"/>
        <w:spacing w:after="0" w:line="240" w:lineRule="auto"/>
        <w:ind w:left="0" w:firstLine="0"/>
        <w:jc w:val="left"/>
        <w:textAlignment w:val="baseline"/>
        <w:rPr>
          <w:rFonts w:eastAsia="Calibri"/>
          <w:color w:val="auto"/>
          <w:kern w:val="3"/>
          <w:sz w:val="22"/>
          <w:lang w:eastAsia="en-US"/>
        </w:rPr>
      </w:pPr>
      <w:r>
        <w:rPr>
          <w:rFonts w:eastAsia="Calibri"/>
          <w:color w:val="auto"/>
          <w:kern w:val="3"/>
          <w:sz w:val="22"/>
          <w:lang w:eastAsia="en-US"/>
        </w:rPr>
        <w:t xml:space="preserve">                                                                                                                     Dječji vrtić Vinica</w:t>
      </w:r>
    </w:p>
    <w:p w14:paraId="79A7B824">
      <w:pPr>
        <w:tabs>
          <w:tab w:val="left" w:pos="6882"/>
        </w:tabs>
        <w:autoSpaceDN w:val="0"/>
        <w:spacing w:after="0" w:line="240" w:lineRule="auto"/>
        <w:ind w:left="0" w:firstLine="0"/>
        <w:jc w:val="left"/>
        <w:textAlignment w:val="baseline"/>
        <w:rPr>
          <w:rFonts w:eastAsia="Calibri"/>
          <w:color w:val="auto"/>
          <w:kern w:val="3"/>
          <w:sz w:val="22"/>
          <w:lang w:eastAsia="en-US"/>
        </w:rPr>
      </w:pPr>
      <w:r>
        <w:rPr>
          <w:rFonts w:eastAsia="Calibri"/>
          <w:color w:val="auto"/>
          <w:kern w:val="3"/>
          <w:sz w:val="22"/>
          <w:lang w:eastAsia="en-US"/>
        </w:rPr>
        <w:t xml:space="preserve">Zapisničarka:                                                                                        Članica Upravnog vijeća </w:t>
      </w:r>
    </w:p>
    <w:p w14:paraId="0D9ECE9C">
      <w:pPr>
        <w:tabs>
          <w:tab w:val="left" w:pos="5751"/>
        </w:tabs>
        <w:autoSpaceDN w:val="0"/>
        <w:spacing w:after="0" w:line="240" w:lineRule="auto"/>
        <w:ind w:left="0" w:firstLine="0"/>
        <w:jc w:val="left"/>
        <w:textAlignment w:val="baseline"/>
        <w:rPr>
          <w:rFonts w:eastAsia="Calibri"/>
          <w:color w:val="auto"/>
          <w:kern w:val="3"/>
          <w:sz w:val="22"/>
          <w:lang w:eastAsia="en-US"/>
        </w:rPr>
      </w:pPr>
      <w:r>
        <w:rPr>
          <w:rFonts w:eastAsia="Calibri"/>
          <w:color w:val="auto"/>
          <w:kern w:val="3"/>
          <w:sz w:val="22"/>
          <w:lang w:eastAsia="en-US"/>
        </w:rPr>
        <w:t>Dora Balent Turčin</w:t>
      </w:r>
      <w:r>
        <w:rPr>
          <w:rFonts w:eastAsia="Calibri"/>
          <w:color w:val="auto"/>
          <w:kern w:val="3"/>
          <w:sz w:val="22"/>
          <w:lang w:eastAsia="en-US"/>
        </w:rPr>
        <w:tab/>
      </w:r>
      <w:r>
        <w:rPr>
          <w:rFonts w:eastAsia="Calibri"/>
          <w:color w:val="auto"/>
          <w:kern w:val="3"/>
          <w:sz w:val="22"/>
          <w:lang w:eastAsia="en-US"/>
        </w:rPr>
        <w:t xml:space="preserve">     Monika Kovačić, mag.oec.</w:t>
      </w:r>
    </w:p>
    <w:sectPr>
      <w:footerReference r:id="rId5" w:type="default"/>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EE"/>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D076F">
    <w:pPr>
      <w:pBdr>
        <w:left w:val="single" w:color="4472C4" w:sz="12" w:space="11"/>
      </w:pBdr>
      <w:tabs>
        <w:tab w:val="left" w:pos="622"/>
      </w:tabs>
      <w:spacing w:after="0"/>
      <w:jc w:val="center"/>
      <w:rPr>
        <w:rFonts w:ascii="Calibri Light" w:hAnsi="Calibri Light"/>
        <w:color w:val="2F5496"/>
        <w:sz w:val="26"/>
        <w:szCs w:val="26"/>
      </w:rPr>
    </w:pPr>
    <w:r>
      <w:rPr>
        <w:rFonts w:ascii="Calibri Light" w:hAnsi="Calibri Light"/>
        <w:color w:val="2F5496"/>
        <w:sz w:val="26"/>
        <w:szCs w:val="26"/>
      </w:rPr>
      <w:fldChar w:fldCharType="begin"/>
    </w:r>
    <w:r>
      <w:rPr>
        <w:rFonts w:ascii="Calibri Light" w:hAnsi="Calibri Light"/>
        <w:color w:val="2F5496"/>
        <w:sz w:val="26"/>
        <w:szCs w:val="26"/>
      </w:rPr>
      <w:instrText xml:space="preserve">PAGE   \* MERGEFORMAT</w:instrText>
    </w:r>
    <w:r>
      <w:rPr>
        <w:rFonts w:ascii="Calibri Light" w:hAnsi="Calibri Light"/>
        <w:color w:val="2F5496"/>
        <w:sz w:val="26"/>
        <w:szCs w:val="26"/>
      </w:rPr>
      <w:fldChar w:fldCharType="separate"/>
    </w:r>
    <w:r>
      <w:rPr>
        <w:rFonts w:ascii="Calibri Light" w:hAnsi="Calibri Light"/>
        <w:color w:val="2F5496"/>
        <w:sz w:val="26"/>
        <w:szCs w:val="26"/>
      </w:rPr>
      <w:t>2</w:t>
    </w:r>
    <w:r>
      <w:rPr>
        <w:rFonts w:ascii="Calibri Light" w:hAnsi="Calibri Light"/>
        <w:color w:val="2F5496"/>
        <w:sz w:val="26"/>
        <w:szCs w:val="26"/>
      </w:rPr>
      <w:fldChar w:fldCharType="end"/>
    </w:r>
  </w:p>
  <w:p w14:paraId="7A3F10DD">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0" w:lineRule="auto"/>
      </w:pPr>
      <w:r>
        <w:separator/>
      </w:r>
    </w:p>
  </w:footnote>
  <w:footnote w:type="continuationSeparator" w:id="1">
    <w:p>
      <w:pPr>
        <w:spacing w:before="0" w:after="0" w:line="25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4D0803"/>
    <w:multiLevelType w:val="multilevel"/>
    <w:tmpl w:val="144D0803"/>
    <w:lvl w:ilvl="0" w:tentative="0">
      <w:start w:val="0"/>
      <w:numFmt w:val="bullet"/>
      <w:lvlText w:val="-"/>
      <w:lvlJc w:val="left"/>
      <w:pPr>
        <w:ind w:left="629" w:hanging="360"/>
      </w:pPr>
      <w:rPr>
        <w:rFonts w:hint="default" w:ascii="Times New Roman" w:hAnsi="Times New Roman" w:eastAsia="Calibri" w:cs="Times New Roman"/>
      </w:rPr>
    </w:lvl>
    <w:lvl w:ilvl="1" w:tentative="0">
      <w:start w:val="1"/>
      <w:numFmt w:val="bullet"/>
      <w:lvlText w:val="o"/>
      <w:lvlJc w:val="left"/>
      <w:pPr>
        <w:ind w:left="1349" w:hanging="360"/>
      </w:pPr>
      <w:rPr>
        <w:rFonts w:hint="default" w:ascii="Courier New" w:hAnsi="Courier New" w:cs="Courier New"/>
      </w:rPr>
    </w:lvl>
    <w:lvl w:ilvl="2" w:tentative="0">
      <w:start w:val="1"/>
      <w:numFmt w:val="bullet"/>
      <w:lvlText w:val=""/>
      <w:lvlJc w:val="left"/>
      <w:pPr>
        <w:ind w:left="2069" w:hanging="360"/>
      </w:pPr>
      <w:rPr>
        <w:rFonts w:hint="default" w:ascii="Wingdings" w:hAnsi="Wingdings"/>
      </w:rPr>
    </w:lvl>
    <w:lvl w:ilvl="3" w:tentative="0">
      <w:start w:val="1"/>
      <w:numFmt w:val="bullet"/>
      <w:lvlText w:val=""/>
      <w:lvlJc w:val="left"/>
      <w:pPr>
        <w:ind w:left="2789" w:hanging="360"/>
      </w:pPr>
      <w:rPr>
        <w:rFonts w:hint="default" w:ascii="Symbol" w:hAnsi="Symbol"/>
      </w:rPr>
    </w:lvl>
    <w:lvl w:ilvl="4" w:tentative="0">
      <w:start w:val="1"/>
      <w:numFmt w:val="bullet"/>
      <w:lvlText w:val="o"/>
      <w:lvlJc w:val="left"/>
      <w:pPr>
        <w:ind w:left="3509" w:hanging="360"/>
      </w:pPr>
      <w:rPr>
        <w:rFonts w:hint="default" w:ascii="Courier New" w:hAnsi="Courier New" w:cs="Courier New"/>
      </w:rPr>
    </w:lvl>
    <w:lvl w:ilvl="5" w:tentative="0">
      <w:start w:val="1"/>
      <w:numFmt w:val="bullet"/>
      <w:lvlText w:val=""/>
      <w:lvlJc w:val="left"/>
      <w:pPr>
        <w:ind w:left="4229" w:hanging="360"/>
      </w:pPr>
      <w:rPr>
        <w:rFonts w:hint="default" w:ascii="Wingdings" w:hAnsi="Wingdings"/>
      </w:rPr>
    </w:lvl>
    <w:lvl w:ilvl="6" w:tentative="0">
      <w:start w:val="1"/>
      <w:numFmt w:val="bullet"/>
      <w:lvlText w:val=""/>
      <w:lvlJc w:val="left"/>
      <w:pPr>
        <w:ind w:left="4949" w:hanging="360"/>
      </w:pPr>
      <w:rPr>
        <w:rFonts w:hint="default" w:ascii="Symbol" w:hAnsi="Symbol"/>
      </w:rPr>
    </w:lvl>
    <w:lvl w:ilvl="7" w:tentative="0">
      <w:start w:val="1"/>
      <w:numFmt w:val="bullet"/>
      <w:lvlText w:val="o"/>
      <w:lvlJc w:val="left"/>
      <w:pPr>
        <w:ind w:left="5669" w:hanging="360"/>
      </w:pPr>
      <w:rPr>
        <w:rFonts w:hint="default" w:ascii="Courier New" w:hAnsi="Courier New" w:cs="Courier New"/>
      </w:rPr>
    </w:lvl>
    <w:lvl w:ilvl="8" w:tentative="0">
      <w:start w:val="1"/>
      <w:numFmt w:val="bullet"/>
      <w:lvlText w:val=""/>
      <w:lvlJc w:val="left"/>
      <w:pPr>
        <w:ind w:left="6389" w:hanging="360"/>
      </w:pPr>
      <w:rPr>
        <w:rFonts w:hint="default" w:ascii="Wingdings" w:hAnsi="Wingdings"/>
      </w:rPr>
    </w:lvl>
  </w:abstractNum>
  <w:abstractNum w:abstractNumId="1">
    <w:nsid w:val="70C1F8CF"/>
    <w:multiLevelType w:val="singleLevel"/>
    <w:tmpl w:val="70C1F8CF"/>
    <w:lvl w:ilvl="0" w:tentative="0">
      <w:start w:val="1"/>
      <w:numFmt w:val="decimal"/>
      <w:lvlText w:val="%1."/>
      <w:lvlJc w:val="left"/>
      <w:pPr>
        <w:tabs>
          <w:tab w:val="left" w:pos="425"/>
        </w:tabs>
        <w:ind w:left="-15" w:hanging="425"/>
      </w:pPr>
      <w:rPr>
        <w:rFonts w:hint="default"/>
      </w:rPr>
    </w:lvl>
  </w:abstractNum>
  <w:abstractNum w:abstractNumId="2">
    <w:nsid w:val="739C798B"/>
    <w:multiLevelType w:val="multilevel"/>
    <w:tmpl w:val="739C798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2AB"/>
    <w:rsid w:val="000008A9"/>
    <w:rsid w:val="000419DC"/>
    <w:rsid w:val="00083E31"/>
    <w:rsid w:val="000D0C45"/>
    <w:rsid w:val="000F0585"/>
    <w:rsid w:val="000F4CFB"/>
    <w:rsid w:val="001013DE"/>
    <w:rsid w:val="00125711"/>
    <w:rsid w:val="00142BF7"/>
    <w:rsid w:val="001518EE"/>
    <w:rsid w:val="00156822"/>
    <w:rsid w:val="00171307"/>
    <w:rsid w:val="001B2AC0"/>
    <w:rsid w:val="001F0CC9"/>
    <w:rsid w:val="001F37D2"/>
    <w:rsid w:val="00213914"/>
    <w:rsid w:val="00222752"/>
    <w:rsid w:val="00272A88"/>
    <w:rsid w:val="00285B8F"/>
    <w:rsid w:val="00294764"/>
    <w:rsid w:val="003077B0"/>
    <w:rsid w:val="00317886"/>
    <w:rsid w:val="00362B4E"/>
    <w:rsid w:val="003A5A29"/>
    <w:rsid w:val="004258C7"/>
    <w:rsid w:val="004B530F"/>
    <w:rsid w:val="00507E3D"/>
    <w:rsid w:val="0056603A"/>
    <w:rsid w:val="005702AB"/>
    <w:rsid w:val="005D7BFE"/>
    <w:rsid w:val="005F5A11"/>
    <w:rsid w:val="00620726"/>
    <w:rsid w:val="00636061"/>
    <w:rsid w:val="006642EE"/>
    <w:rsid w:val="006714E2"/>
    <w:rsid w:val="0067384A"/>
    <w:rsid w:val="006B483C"/>
    <w:rsid w:val="006D1792"/>
    <w:rsid w:val="006D5D78"/>
    <w:rsid w:val="006D7C71"/>
    <w:rsid w:val="006E001C"/>
    <w:rsid w:val="006E4979"/>
    <w:rsid w:val="00746528"/>
    <w:rsid w:val="00775F82"/>
    <w:rsid w:val="00795700"/>
    <w:rsid w:val="007A6A46"/>
    <w:rsid w:val="007B759E"/>
    <w:rsid w:val="007C0AC2"/>
    <w:rsid w:val="007C52DC"/>
    <w:rsid w:val="007E743A"/>
    <w:rsid w:val="0080489E"/>
    <w:rsid w:val="00831965"/>
    <w:rsid w:val="008339D0"/>
    <w:rsid w:val="00855C3C"/>
    <w:rsid w:val="008775F0"/>
    <w:rsid w:val="00904333"/>
    <w:rsid w:val="0094340F"/>
    <w:rsid w:val="00944B8E"/>
    <w:rsid w:val="0095551A"/>
    <w:rsid w:val="00960694"/>
    <w:rsid w:val="009C7317"/>
    <w:rsid w:val="009D4D04"/>
    <w:rsid w:val="009F2D95"/>
    <w:rsid w:val="00A03DF8"/>
    <w:rsid w:val="00A15948"/>
    <w:rsid w:val="00A332BF"/>
    <w:rsid w:val="00A52361"/>
    <w:rsid w:val="00A82BC4"/>
    <w:rsid w:val="00A96D8F"/>
    <w:rsid w:val="00AA20E2"/>
    <w:rsid w:val="00AE75A1"/>
    <w:rsid w:val="00AF7255"/>
    <w:rsid w:val="00B14F2C"/>
    <w:rsid w:val="00B54014"/>
    <w:rsid w:val="00B67FD1"/>
    <w:rsid w:val="00B7166C"/>
    <w:rsid w:val="00B94F08"/>
    <w:rsid w:val="00BB2459"/>
    <w:rsid w:val="00BB7DA9"/>
    <w:rsid w:val="00C154A5"/>
    <w:rsid w:val="00C53D51"/>
    <w:rsid w:val="00C5734F"/>
    <w:rsid w:val="00CB6E1C"/>
    <w:rsid w:val="00CE7625"/>
    <w:rsid w:val="00D16209"/>
    <w:rsid w:val="00D33B23"/>
    <w:rsid w:val="00D4026B"/>
    <w:rsid w:val="00D93E53"/>
    <w:rsid w:val="00DC4AE2"/>
    <w:rsid w:val="00E0646A"/>
    <w:rsid w:val="00E32B9C"/>
    <w:rsid w:val="00E91B66"/>
    <w:rsid w:val="00F0731E"/>
    <w:rsid w:val="00F1335A"/>
    <w:rsid w:val="00F15877"/>
    <w:rsid w:val="00F54CED"/>
    <w:rsid w:val="00F955AD"/>
    <w:rsid w:val="00FA3A8D"/>
    <w:rsid w:val="00FA456E"/>
    <w:rsid w:val="00FC0B6A"/>
    <w:rsid w:val="00FC41EE"/>
    <w:rsid w:val="2AF773EB"/>
    <w:rsid w:val="3AE22346"/>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9" w:line="250" w:lineRule="auto"/>
      <w:ind w:left="279" w:hanging="10"/>
      <w:jc w:val="both"/>
    </w:pPr>
    <w:rPr>
      <w:rFonts w:ascii="Times New Roman" w:hAnsi="Times New Roman" w:eastAsia="Times New Roman" w:cs="Times New Roman"/>
      <w:color w:val="000000"/>
      <w:sz w:val="24"/>
      <w:szCs w:val="22"/>
      <w:lang w:val="hr-HR" w:eastAsia="hr-HR"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uiPriority w:val="99"/>
    <w:pPr>
      <w:tabs>
        <w:tab w:val="center" w:pos="4536"/>
        <w:tab w:val="right" w:pos="9072"/>
      </w:tabs>
      <w:spacing w:after="0" w:line="240" w:lineRule="auto"/>
    </w:pPr>
  </w:style>
  <w:style w:type="paragraph" w:styleId="5">
    <w:name w:val="header"/>
    <w:basedOn w:val="1"/>
    <w:link w:val="9"/>
    <w:unhideWhenUsed/>
    <w:qFormat/>
    <w:uiPriority w:val="99"/>
    <w:pPr>
      <w:tabs>
        <w:tab w:val="center" w:pos="4536"/>
        <w:tab w:val="right" w:pos="9072"/>
      </w:tabs>
      <w:spacing w:after="0" w:line="240" w:lineRule="auto"/>
    </w:p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No Spacing"/>
    <w:qFormat/>
    <w:uiPriority w:val="1"/>
    <w:pPr>
      <w:spacing w:after="0" w:line="240" w:lineRule="auto"/>
      <w:ind w:left="279" w:hanging="10"/>
      <w:jc w:val="both"/>
    </w:pPr>
    <w:rPr>
      <w:rFonts w:ascii="Times New Roman" w:hAnsi="Times New Roman" w:eastAsia="Times New Roman" w:cs="Times New Roman"/>
      <w:color w:val="000000"/>
      <w:sz w:val="24"/>
      <w:szCs w:val="22"/>
      <w:lang w:val="hr-HR" w:eastAsia="hr-HR" w:bidi="ar-SA"/>
    </w:rPr>
  </w:style>
  <w:style w:type="paragraph" w:styleId="8">
    <w:name w:val="List Paragraph"/>
    <w:basedOn w:val="1"/>
    <w:qFormat/>
    <w:uiPriority w:val="34"/>
    <w:pPr>
      <w:ind w:left="720"/>
      <w:contextualSpacing/>
    </w:pPr>
  </w:style>
  <w:style w:type="character" w:customStyle="1" w:styleId="9">
    <w:name w:val="Zaglavlje Char"/>
    <w:basedOn w:val="2"/>
    <w:link w:val="5"/>
    <w:qFormat/>
    <w:uiPriority w:val="99"/>
    <w:rPr>
      <w:rFonts w:ascii="Times New Roman" w:hAnsi="Times New Roman" w:eastAsia="Times New Roman" w:cs="Times New Roman"/>
      <w:color w:val="000000"/>
      <w:sz w:val="24"/>
      <w:lang w:eastAsia="hr-HR"/>
    </w:rPr>
  </w:style>
  <w:style w:type="character" w:customStyle="1" w:styleId="10">
    <w:name w:val="Podnožje Char"/>
    <w:basedOn w:val="2"/>
    <w:link w:val="4"/>
    <w:qFormat/>
    <w:uiPriority w:val="99"/>
    <w:rPr>
      <w:rFonts w:ascii="Times New Roman" w:hAnsi="Times New Roman" w:eastAsia="Times New Roman" w:cs="Times New Roman"/>
      <w:color w:val="000000"/>
      <w:sz w:val="24"/>
      <w:lang w:eastAsia="hr-HR"/>
    </w:rPr>
  </w:style>
  <w:style w:type="table" w:customStyle="1" w:styleId="11">
    <w:name w:val="Plain Table 3"/>
    <w:basedOn w:val="3"/>
    <w:uiPriority w:val="43"/>
    <w:pPr>
      <w:spacing w:after="0" w:line="240" w:lineRule="auto"/>
    </w:pPr>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12">
    <w:name w:val="Grid Table 1 Light"/>
    <w:basedOn w:val="3"/>
    <w:qFormat/>
    <w:uiPriority w:val="46"/>
    <w:pPr>
      <w:spacing w:after="0" w:line="240" w:lineRule="auto"/>
    </w:p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1665</Words>
  <Characters>9493</Characters>
  <Lines>79</Lines>
  <Paragraphs>22</Paragraphs>
  <TotalTime>41</TotalTime>
  <ScaleCrop>false</ScaleCrop>
  <LinksUpToDate>false</LinksUpToDate>
  <CharactersWithSpaces>11136</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2026-09-15T11:41:00Z</dcterms:created>
  <dc:creator>Ivan Kisiček</dc:creator>
  <cp:lastModifiedBy>Vinica</cp:lastModifiedBy>
  <cp:lastPrinted>2026-09-17T09:06:09Z</cp:lastPrinted>
  <dcterms:modified xsi:type="dcterms:W3CDTF">2026-09-17T09:06:51Z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509CAA94E4E948FFBBEB4576B0B9D105_13</vt:lpwstr>
  </property>
</Properties>
</file>