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A7E57" w14:paraId="3E25EB5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479AF0" w14:textId="77777777" w:rsidR="002A7E57" w:rsidRDefault="00144D2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00FEDE3" w14:textId="77777777" w:rsidR="002A7E57" w:rsidRDefault="00144D21">
            <w:pPr>
              <w:spacing w:after="0" w:line="240" w:lineRule="auto"/>
            </w:pPr>
            <w:r>
              <w:t>51468</w:t>
            </w:r>
          </w:p>
        </w:tc>
      </w:tr>
      <w:tr w:rsidR="002A7E57" w14:paraId="23B7DFA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C151B3" w14:textId="77777777" w:rsidR="002A7E57" w:rsidRDefault="00144D2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668209C" w14:textId="77777777" w:rsidR="002A7E57" w:rsidRDefault="00144D21">
            <w:pPr>
              <w:spacing w:after="0" w:line="240" w:lineRule="auto"/>
            </w:pPr>
            <w:r>
              <w:t>DJEČJI VRTIĆ VINICA</w:t>
            </w:r>
          </w:p>
        </w:tc>
      </w:tr>
      <w:tr w:rsidR="002A7E57" w14:paraId="4D05762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00CFC56" w14:textId="77777777" w:rsidR="002A7E57" w:rsidRDefault="00144D2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D395F2F" w14:textId="77777777" w:rsidR="002A7E57" w:rsidRDefault="00144D21">
            <w:pPr>
              <w:spacing w:after="0" w:line="240" w:lineRule="auto"/>
            </w:pPr>
            <w:r>
              <w:t>21</w:t>
            </w:r>
          </w:p>
        </w:tc>
      </w:tr>
    </w:tbl>
    <w:p w14:paraId="6592752E" w14:textId="77777777" w:rsidR="002A7E57" w:rsidRDefault="00144D21">
      <w:r>
        <w:br/>
      </w:r>
    </w:p>
    <w:p w14:paraId="3EA65CB3" w14:textId="77777777" w:rsidR="002A7E57" w:rsidRDefault="00144D2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F3F0397" w14:textId="77777777" w:rsidR="002A7E57" w:rsidRDefault="00144D21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F79730C" w14:textId="77777777" w:rsidR="002A7E57" w:rsidRDefault="00144D21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13F803A" w14:textId="77777777" w:rsidR="002A7E57" w:rsidRDefault="002A7E57"/>
    <w:p w14:paraId="2C272E6D" w14:textId="77777777" w:rsidR="002A7E57" w:rsidRDefault="00144D2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62CE116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0CDF62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412D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4642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30B0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AE3B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F751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CE73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6FEDBF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17F9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4888C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48B6B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5602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163.657,71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5F781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234.787,81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4F31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143,5</w:t>
            </w:r>
          </w:p>
        </w:tc>
      </w:tr>
      <w:tr w:rsidR="002A7E57" w14:paraId="054A52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7A38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79AC8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D07F1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69246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121.170,74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66C95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232.255,72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07235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191,7</w:t>
            </w:r>
          </w:p>
        </w:tc>
      </w:tr>
      <w:tr w:rsidR="002A7E57" w14:paraId="4E7967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D5892" w14:textId="77777777" w:rsidR="002A7E57" w:rsidRDefault="002A7E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4B83C0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A24C1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0EF4E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42.486,97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97275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2.532,09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8B44B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6,0</w:t>
            </w:r>
          </w:p>
        </w:tc>
      </w:tr>
      <w:tr w:rsidR="002A7E57" w14:paraId="599962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72F11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55683B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C7D18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7DD8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98B4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0445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A7E57" w14:paraId="7090F3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AF709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9407F5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22D39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DE124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02D84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EF59A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A7E57" w14:paraId="5140A8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79EAD" w14:textId="77777777" w:rsidR="002A7E57" w:rsidRDefault="002A7E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EF12E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55A19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E48AE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6EC4A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3ABBF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A7E57" w14:paraId="43F0E1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F5EA0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2DF072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E3AD3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3A2C5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82B8B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B546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A7E57" w14:paraId="30AC38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1A520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86157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B2098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E46D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0042A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C8E4E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A7E57" w14:paraId="7643E2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BA63F" w14:textId="77777777" w:rsidR="002A7E57" w:rsidRDefault="002A7E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25A3E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D35F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C6A9F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33571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62E88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A7E57" w14:paraId="1CE1E0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BE96D" w14:textId="77777777" w:rsidR="002A7E57" w:rsidRDefault="002A7E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46C05B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E410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12E4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42.486,97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8AB44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2.532,09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F0AE6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6,0</w:t>
            </w:r>
          </w:p>
        </w:tc>
      </w:tr>
    </w:tbl>
    <w:p w14:paraId="205D9CBB" w14:textId="77777777" w:rsidR="002A7E57" w:rsidRDefault="002A7E57">
      <w:pPr>
        <w:spacing w:after="0"/>
      </w:pPr>
    </w:p>
    <w:p w14:paraId="42528062" w14:textId="77777777" w:rsidR="002A7E57" w:rsidRDefault="00144D21">
      <w:pPr>
        <w:spacing w:line="240" w:lineRule="auto"/>
        <w:jc w:val="both"/>
      </w:pPr>
      <w:r>
        <w:t>Dječji vrtić Vinica je javna ustanova u okviru djelatnosti ranog i predškolskog odgoja i obrazovanja koja je započela s radom 01. rujna 2020. Osnivač dječjeg vrtića je Općina Vinica, upisanog u sudski registar 01. srpnja 2020. godine. UKUPNI PRIHODI (6) Ostvareni prihodi do u navedenom izvještajnom razdoblju iznose 234.787,81 EUR dok je prošle godine u istom izvještajnom razdoblju bilo ostvareno 163.657,71 EUR.  Do povećanja prihoda u odnosu na prošlu godinu u istom izvještajnom razdoblju došlo je zbog pove</w:t>
      </w:r>
      <w:r>
        <w:t xml:space="preserve">ćanja ekonomske cijene vrtića, gdje je u porastu također i participacija u ekonomskoj cijeni vrtića od 70% od strane </w:t>
      </w:r>
      <w:r>
        <w:lastRenderedPageBreak/>
        <w:t>osnivača Općine Vinica, te povećanog broja djece u odgojno obrazovnim skupinama.  Skupina 63 Pomoći iz inozemstva i od subjekata unutar općeg proračuna odnose se na refundacije HZZO u iznosu od 690,67 EUR, dok su prošle godine iznosile 845,04 EUR zbog većeg broja bolovanja na teret HZZO-a. Konto 6361 sada iznosi 480,00, dok je prošle godine iznosio 2.802,60 EUR, a odnosi se na tekuće pomoći t</w:t>
      </w:r>
      <w:r>
        <w:t>ekuće pomoći iz državnog proračuna proračunskim korisnicima za Program predškole i djecu s posebnim poteškoćama u razvoju. Razlog su zabilježen manji broj djece sa dijagnosticiranim poteškoćama.  Skupina 64  Odnosi se na kamate na oročena sredstva i depozite po viđenju  koji u ovom izvještajnom razdoblju iznose 2,57 EUR, dok su prošle godine iznosili 1,02 EUR. U ovoj se kategoriji vidi povećanje zbog više novaca na računu.  Skupina 65 Prihodi od upravnih i administrativnih pristojbi, pristojbi po posebnim p</w:t>
      </w:r>
      <w:r>
        <w:t>ropisima i naknada u ovom razdoblju iznose 80.187,31 EUR, što je povećanje u odnosu na prošlu godinu gdje iznosi 62.154,73 EUR. Razlog povećanja je veća ekonomska cijena vrtića. Skupina 66 Odnosi se na primljene donacije pa je tako u ovoj kategoriji zabilježen veći rast zbog dobivenih natječaja od strane HEP-a, ali ujedno i turističkih agencija za pratnju na dječjim izletima.  Skupina 67 Odnosi se na prihode iz nadležnog proračuna za financiranje rashoda poslovanja u iznosu od 150.080,00 EUR u odnosu na pro</w:t>
      </w:r>
      <w:r>
        <w:t>šlu godinu gdje je iznos sufinanciranja  u tom kontu 6711 iznosio 97.194,32 EUR. Do povećanja dolazi zbog povećanja udjela u plaćanju ekonomske cijene vrtića. Općina Vinica sufinancirala je ekonomsku cijenu vrtića od 60%, međutim povećala je udio financiranja za 10% te sad iznosi 70%.  UKUPNI RASHODI (3) Struktura ostvarenih rashoda do 30.06.2024. je 232.255,72.EURA, dok je u proteklom izvještajnom razdoblju bilo 121.170,74 EUR.  Skupina 31 Odnosi na rashode za zaposlene u iznosu od EUR – dok su u proteklom</w:t>
      </w:r>
      <w:r>
        <w:t xml:space="preserve"> izvještajnom razdoblju iznosili 95.658.45 EUR. U ovu skupinu 3111 spadaju plaće za redovan rad, doprinosi za zdravstveno osiguranje te ostali rashodi za zaposlene kao što su nagrade, te drugi materijalne naknade. Do povećanja rashoda za zaposlene u odnosu na prethodno izvještajno razdoblje je e zbog povećanja plaća zaposlenicama DV Vinica, prvenstveno zbog usklađenja sa zakonskim osnovicama, ali i zbog podizanja koeficijenata određenim radnim mjestima.  Skupina 32 Odnosi se na materijalne rashode koji obuh</w:t>
      </w:r>
      <w:r>
        <w:t>vaćaju naknade troškova zaposlenima, rashode za materijal i energiju (za uredski materijal, sredstva za čišćenje i održavanje, električnu energiju, radnu odjeću i obuću, prehrana djece), rashode za usluge (za zdravstvene usluge, računalne usluge, telefona, komunalne usluge, računovodstvene usluge, usluge čišćenja vrtića) te ostale nespomenute rashode poslovanja. U ovom izvještajnom razdoblju iznose 36.385,17 EUR, dok su u proteklom izvještajnom razdoblju iznosili 25.133,03 EUR. Porast rashoda rezultat je op</w:t>
      </w:r>
      <w:r>
        <w:t>ćeg porasta cijena energenata i usluga ali i poslovanja dječjeg vrtića, gdje su se pripremali i projekti, kulturne manifestacije, sportska događanja i drugo koja su rezultirali povećanjem u ovoj skupini troškova.  Unutar skupine iskaču pojedina konta primjerice računalne usluge konto 3238, koje su do 30.06.2025. iznosile 314,80 EUR, dok su u prethodnom razdoblju iznosile 1.295,66 EUR. Dječji vrtić Vinica prošle je godine uveo je sustav digitalizacije arhive gdje je rashod za instalaciju „</w:t>
      </w:r>
      <w:proofErr w:type="spellStart"/>
      <w:r>
        <w:t>Diar</w:t>
      </w:r>
      <w:proofErr w:type="spellEnd"/>
      <w:r>
        <w:t>“ arhive iznosi</w:t>
      </w:r>
      <w:r>
        <w:t>o 1.000,00 EUR te mjesečne usluge programske podrške iznose 43,75 EUR. U ovom je izvještajnom razdoblju trošak održavanja je iz tog razloga smanjeni indeks.  Također ostali nespomenuti rashodi poslovanja 3299 iznose 5.946,83 EUR dok su u proteklom izvještajnom razdoblju iznosili 1.193,27 EUR. U ovu skupinu uvele su se manifestacije vrtića kao što je „Vinkajček 2024.“, smotra dječjeg dramskog stvaralaštva gdje ima velik broj sudionika iz ostalih vrtića, ove se godine organizirala i 1. Olimpijada Dječjeg vrti</w:t>
      </w:r>
      <w:r>
        <w:t>ća Vinica. Svi troškovi organizacije vode se u ovoj skupini te je iz tog razloga veliki rast u odnosu na prethodno izvještajno razdoblje.   Skupina 34 Odnosi se na naknade za usluge banaka, koje su do 30.06.2025. godine iznosile 444,73 EUR, dok su u proteklom izvještajnom razdoblju iznosile 379,26 EUR. Razlog povećanja su porast cijene bankarskih usluga i naknada.  Višak prihoda poslovanja u ovom izvještajnom razdoblju iznosi  2.532,09 EURA.</w:t>
      </w:r>
    </w:p>
    <w:p w14:paraId="72141042" w14:textId="77777777" w:rsidR="002A7E57" w:rsidRDefault="00144D21">
      <w:r>
        <w:lastRenderedPageBreak/>
        <w:br/>
      </w:r>
    </w:p>
    <w:p w14:paraId="06C099F5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334BCC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F07B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8152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F736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BC76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CC99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DF77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250FD9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F3C67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ED3972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1B855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980A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163.657,71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85BC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234.787,81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4EEF4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143,5</w:t>
            </w:r>
          </w:p>
        </w:tc>
      </w:tr>
    </w:tbl>
    <w:p w14:paraId="6C156C82" w14:textId="77777777" w:rsidR="002A7E57" w:rsidRDefault="002A7E57">
      <w:pPr>
        <w:spacing w:after="0"/>
      </w:pPr>
    </w:p>
    <w:p w14:paraId="0CF0BABB" w14:textId="77777777" w:rsidR="002A7E57" w:rsidRDefault="00144D21">
      <w:pPr>
        <w:spacing w:line="240" w:lineRule="auto"/>
        <w:jc w:val="both"/>
      </w:pPr>
      <w:r>
        <w:t>Povećanje ukupnih prihoda proizlazi iz povećanje ekonomske cijene vrtića. Dječji vrtić Vinica trenutno ima ekonomsku cijenu 400,00 EUR, koja je porasla od proteklog izvještajnog razdoblja, a razlog povećanja su opći porast cijena materijala i usluga.</w:t>
      </w:r>
    </w:p>
    <w:p w14:paraId="0A384305" w14:textId="77777777" w:rsidR="002A7E57" w:rsidRDefault="002A7E57"/>
    <w:p w14:paraId="2B6FDB4D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20EF40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CF38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8A5F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2E51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B9BB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0A43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81CA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55785B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B09B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2FF337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260FE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FCC35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3.647,64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A0896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83BBB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32,1</w:t>
            </w:r>
          </w:p>
        </w:tc>
      </w:tr>
    </w:tbl>
    <w:p w14:paraId="055E5DA4" w14:textId="77777777" w:rsidR="002A7E57" w:rsidRDefault="002A7E57">
      <w:pPr>
        <w:spacing w:after="0"/>
      </w:pPr>
    </w:p>
    <w:p w14:paraId="103B0F62" w14:textId="77777777" w:rsidR="002A7E57" w:rsidRDefault="00144D21">
      <w:pPr>
        <w:spacing w:line="240" w:lineRule="auto"/>
        <w:jc w:val="both"/>
      </w:pPr>
      <w:r>
        <w:t>Odnosi se na refundacije HZZO-a, gdje je u ovom izvještajnom razdoblju zabilježen manji broj bolovanja te samim time i manje refundacija.</w:t>
      </w:r>
    </w:p>
    <w:p w14:paraId="44C9DBEC" w14:textId="77777777" w:rsidR="002A7E57" w:rsidRDefault="002A7E57"/>
    <w:p w14:paraId="0F06C4DA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42DD4B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AAA0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A79C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FBFC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E383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FBC4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5990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5D664F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C098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26338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346FC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7314E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CB3C3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15994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17,1</w:t>
            </w:r>
          </w:p>
        </w:tc>
      </w:tr>
    </w:tbl>
    <w:p w14:paraId="390D0E3A" w14:textId="77777777" w:rsidR="002A7E57" w:rsidRDefault="002A7E57">
      <w:pPr>
        <w:spacing w:after="0"/>
      </w:pPr>
    </w:p>
    <w:p w14:paraId="44E78C61" w14:textId="77777777" w:rsidR="002A7E57" w:rsidRDefault="00144D21">
      <w:pPr>
        <w:spacing w:line="240" w:lineRule="auto"/>
        <w:jc w:val="both"/>
      </w:pPr>
      <w:r>
        <w:t>Konto 6361 sada iznosi 480,00, dok je prošle godine iznosio 2.802,60 EUR, a odnosi se na tekuće pomoći iz državnog proračuna proračunskim korisnicima za Program predškole i djecu s posebnim poteškoćama u razvoju. Razlog  smanjenja indeksa su zabilježen manji broj djece sa dijagnosticiranim poteškoćama.</w:t>
      </w:r>
    </w:p>
    <w:p w14:paraId="02013FC1" w14:textId="77777777" w:rsidR="002A7E57" w:rsidRDefault="002A7E57"/>
    <w:p w14:paraId="04F792C7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3C07CA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6909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5FFC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388A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EEFD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3341E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31AC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1A1A8D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065E0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51074F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23FBC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A3E79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75819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BC0A7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17,1</w:t>
            </w:r>
          </w:p>
        </w:tc>
      </w:tr>
    </w:tbl>
    <w:p w14:paraId="07A10E87" w14:textId="77777777" w:rsidR="002A7E57" w:rsidRDefault="002A7E57">
      <w:pPr>
        <w:spacing w:after="0"/>
      </w:pPr>
    </w:p>
    <w:p w14:paraId="48B7015F" w14:textId="77777777" w:rsidR="002A7E57" w:rsidRDefault="00144D21">
      <w:pPr>
        <w:spacing w:line="240" w:lineRule="auto"/>
        <w:jc w:val="both"/>
      </w:pPr>
      <w:r>
        <w:lastRenderedPageBreak/>
        <w:t>Konto 6361 sada iznosi 480,00, dok je prošle godine iznosio 2.802,60 EUR, a odnosi se na tekuće pomoći iz državnog proračuna proračunskim korisnicima za Program predškole i djecu s posebnim poteškoćama u razvoju. Razlog  smanjenja indeksa su zabilježen manji broj djece sa dijagnosticiranim poteškoćama.</w:t>
      </w:r>
    </w:p>
    <w:p w14:paraId="2FBC796C" w14:textId="77777777" w:rsidR="002A7E57" w:rsidRDefault="002A7E57"/>
    <w:p w14:paraId="6C8AEAE4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3B5E7B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211A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D2CEE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195C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CD686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ED8F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5CF4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1BE60F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34A70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3B8C19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A53A7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80CD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0EEB7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2CA41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252,0</w:t>
            </w:r>
          </w:p>
        </w:tc>
      </w:tr>
    </w:tbl>
    <w:p w14:paraId="63E9E2EB" w14:textId="77777777" w:rsidR="002A7E57" w:rsidRDefault="002A7E57">
      <w:pPr>
        <w:spacing w:after="0"/>
      </w:pPr>
    </w:p>
    <w:p w14:paraId="1EB33EEB" w14:textId="77777777" w:rsidR="002A7E57" w:rsidRDefault="00144D21">
      <w:pPr>
        <w:spacing w:line="240" w:lineRule="auto"/>
        <w:jc w:val="both"/>
      </w:pPr>
      <w:r>
        <w:t>Odnosi se na kamate na oročena sredstva i depozite po viđenju  koji u ovom izvještajnom razdoblju iznose 2,57 EUR, dok su prošle godine iznosili 1,02 EUR. U ovoj se kategoriji vidi povećanje zbog više novaca na računu.</w:t>
      </w:r>
    </w:p>
    <w:p w14:paraId="5D818646" w14:textId="77777777" w:rsidR="002A7E57" w:rsidRDefault="002A7E57"/>
    <w:p w14:paraId="4D092184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3B253D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7A8F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A91D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95A8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348E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FDD6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D36A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3A0F9D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13C6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377EE7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C604C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73187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3F3C9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C6DDD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252,0</w:t>
            </w:r>
          </w:p>
        </w:tc>
      </w:tr>
    </w:tbl>
    <w:p w14:paraId="0410F55A" w14:textId="77777777" w:rsidR="002A7E57" w:rsidRDefault="002A7E57">
      <w:pPr>
        <w:spacing w:after="0"/>
      </w:pPr>
    </w:p>
    <w:p w14:paraId="19A1214A" w14:textId="77777777" w:rsidR="002A7E57" w:rsidRDefault="00144D21">
      <w:pPr>
        <w:spacing w:line="240" w:lineRule="auto"/>
        <w:jc w:val="both"/>
      </w:pPr>
      <w:r>
        <w:t>Odnosi se na kamate na oročena sredstva i depozite po viđenju  koji u ovom izvještajnom razdoblju iznose 2,57 EUR, dok su prošle godine iznosili 1,02 EUR. U ovoj se kategoriji vidi povećanje zbog više novaca na računu.</w:t>
      </w:r>
    </w:p>
    <w:p w14:paraId="5586D213" w14:textId="77777777" w:rsidR="002A7E57" w:rsidRDefault="002A7E57"/>
    <w:p w14:paraId="3035F39A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7EE422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F267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3CD6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B629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174C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A965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583F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0FE10D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7849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761B8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AC3E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9BDFF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AB40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8786F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252,0</w:t>
            </w:r>
          </w:p>
        </w:tc>
      </w:tr>
    </w:tbl>
    <w:p w14:paraId="47D54C2E" w14:textId="77777777" w:rsidR="002A7E57" w:rsidRDefault="002A7E57">
      <w:pPr>
        <w:spacing w:after="0"/>
      </w:pPr>
    </w:p>
    <w:p w14:paraId="5CD8675C" w14:textId="77777777" w:rsidR="002A7E57" w:rsidRDefault="00144D21">
      <w:pPr>
        <w:spacing w:line="240" w:lineRule="auto"/>
        <w:jc w:val="both"/>
      </w:pPr>
      <w:r>
        <w:t>Odnosi se na kamate na oročena sredstva i depozite po viđenju  koji u ovom izvještajnom razdoblju iznose 2,57 EUR, dok su prošle godine iznosili 1,02 EUR. U ovoj se kategoriji vidi povećanje zbog više novaca na računu.</w:t>
      </w:r>
    </w:p>
    <w:p w14:paraId="75022EC7" w14:textId="77777777" w:rsidR="002A7E57" w:rsidRDefault="002A7E57"/>
    <w:p w14:paraId="6FC979E2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688D1B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5BB0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4D2F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EE66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A345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5F00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605E6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45801C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D79E1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E94EE7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4ED88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9266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62.154,73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295B5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80.187,31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61068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</w:tbl>
    <w:p w14:paraId="5ED16516" w14:textId="77777777" w:rsidR="002A7E57" w:rsidRDefault="002A7E57">
      <w:pPr>
        <w:spacing w:after="0"/>
      </w:pPr>
    </w:p>
    <w:p w14:paraId="221FE4FF" w14:textId="77777777" w:rsidR="002A7E57" w:rsidRDefault="00144D21">
      <w:pPr>
        <w:spacing w:line="240" w:lineRule="auto"/>
        <w:jc w:val="both"/>
      </w:pPr>
      <w:r>
        <w:t>Prihodi od upravnih i administrativnih pristojbi, pristojbi po posebnim propisima i naknada u ovom razdoblju iznose 80.187,31 EUR, što je povećanje u odnosu na prošlu godinu gdje iznosi 62.154,73 EUR. Razlog povećanja je veća ekonomska cijena vrtića.  Stavka se odnosi na participaciju roditelja u ekonomskoj cijeni vrtića odnosno račun koji roditelj plaća za uslugu vrtića. On iznosi 30% ekonomske cijene vrtića, odnosno 120, 00 EUR, umanjen u pojedinim slučajevima za popust.</w:t>
      </w:r>
    </w:p>
    <w:p w14:paraId="3CA0C29C" w14:textId="77777777" w:rsidR="002A7E57" w:rsidRDefault="002A7E57"/>
    <w:p w14:paraId="7E56A872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48CBEB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90C1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1666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2896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D5A2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7828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8178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082FA4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6ED63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9DBEE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1E99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AB30D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62.154,73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3BCDC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80.187,31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1142C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</w:tbl>
    <w:p w14:paraId="26B5EFFA" w14:textId="77777777" w:rsidR="002A7E57" w:rsidRDefault="002A7E57">
      <w:pPr>
        <w:spacing w:after="0"/>
      </w:pPr>
    </w:p>
    <w:p w14:paraId="2CC40E75" w14:textId="77777777" w:rsidR="002A7E57" w:rsidRDefault="00144D21">
      <w:pPr>
        <w:spacing w:line="240" w:lineRule="auto"/>
        <w:jc w:val="both"/>
      </w:pPr>
      <w:r>
        <w:t>Prihodi od upravnih i administrativnih pristojbi, pristojbi po posebnim propisima i naknada u ovom razdoblju iznose 80.187,31 EUR, što je povećanje u odnosu na prošlu godinu gdje iznosi 62.154,73 EUR. Razlog povećanja je veća ekonomska cijena vrtića.  Stavka se odnosi na participaciju roditelja u ekonomskoj cijeni vrtića odnosno račun koji roditelj plaća za uslugu vrtića. On iznosi 30% ekonomske cijene vrtića, odnosno 120, 00 EUR, umanjen u pojedinim slučajevima za popust.</w:t>
      </w:r>
    </w:p>
    <w:p w14:paraId="786B60AA" w14:textId="77777777" w:rsidR="002A7E57" w:rsidRDefault="002A7E57"/>
    <w:p w14:paraId="4A684282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39418B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C4CA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614F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FF1B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9087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5C6C6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746B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2FB6EF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34B43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B1C95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478C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9BBC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62.154,73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50966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80.187,31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6548F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</w:tbl>
    <w:p w14:paraId="180478E3" w14:textId="77777777" w:rsidR="002A7E57" w:rsidRDefault="002A7E57">
      <w:pPr>
        <w:spacing w:after="0"/>
      </w:pPr>
    </w:p>
    <w:p w14:paraId="7E9E56C1" w14:textId="77777777" w:rsidR="002A7E57" w:rsidRDefault="00144D21">
      <w:pPr>
        <w:spacing w:line="240" w:lineRule="auto"/>
        <w:jc w:val="both"/>
      </w:pPr>
      <w:r>
        <w:t>Prihodi od upravnih i administrativnih pristojbi, pristojbi po posebnim propisima i naknada u ovom razdoblju iznose 80.187,31 EUR, što je povećanje u odnosu na prošlu godinu gdje iznosi 62.154,73 EUR. Razlog povećanja je veća ekonomska cijena vrtića. Stavka se odnosi na participaciju roditelja u ekonomskoj cijeni vrtića odnosno račun koji roditelj plaća za uslugu vrtića. On iznosi 30% ekonomske cijene vrtića, odnosno 120, 00 EUR, umanjen u pojedinim slučajevima za popust.</w:t>
      </w:r>
    </w:p>
    <w:p w14:paraId="1B733675" w14:textId="77777777" w:rsidR="002A7E57" w:rsidRDefault="002A7E57"/>
    <w:p w14:paraId="2DFCE239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182ED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F75A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081E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50BC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2CC36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0D616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1D2B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0843EF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9610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7CA887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A3275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EB688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BD34FC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65628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507,2</w:t>
            </w:r>
          </w:p>
        </w:tc>
      </w:tr>
    </w:tbl>
    <w:p w14:paraId="313E8FB2" w14:textId="77777777" w:rsidR="002A7E57" w:rsidRDefault="002A7E57">
      <w:pPr>
        <w:spacing w:after="0"/>
      </w:pPr>
    </w:p>
    <w:p w14:paraId="481B610A" w14:textId="77777777" w:rsidR="002A7E57" w:rsidRDefault="00144D21">
      <w:pPr>
        <w:spacing w:line="240" w:lineRule="auto"/>
        <w:jc w:val="both"/>
      </w:pPr>
      <w:r>
        <w:t>U ovom izvještajnom razdoblju zabilježen je znatan rast donacija, povezanih za prijavama na natječaje za održavanje kulturnih i sportskih manifestacija, donacije vezane uz turističke agencije za pratnju djecu na izlete i drugo. Obzirom da u proteklom izvještajnom razdoblju nije bilo takvih aktivnosti i programa vrtića, sada se bilježi znatno povećanje.</w:t>
      </w:r>
    </w:p>
    <w:p w14:paraId="5D6695C2" w14:textId="77777777" w:rsidR="002A7E57" w:rsidRDefault="002A7E57"/>
    <w:p w14:paraId="438C22D2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649F00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0A8F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F851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1B06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837B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EC72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A919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6F0294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0863C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5A90E1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4BC7D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6FDC75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92E3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E2F2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507,2</w:t>
            </w:r>
          </w:p>
        </w:tc>
      </w:tr>
    </w:tbl>
    <w:p w14:paraId="51161C55" w14:textId="77777777" w:rsidR="002A7E57" w:rsidRDefault="002A7E57">
      <w:pPr>
        <w:spacing w:after="0"/>
      </w:pPr>
    </w:p>
    <w:p w14:paraId="5849C351" w14:textId="77777777" w:rsidR="002A7E57" w:rsidRDefault="00144D21">
      <w:pPr>
        <w:spacing w:line="240" w:lineRule="auto"/>
        <w:jc w:val="both"/>
      </w:pPr>
      <w:r>
        <w:t>U ovom izvještajnom razdoblju zabilježen je znatan rast donacija, povezanih za prijavama na natječaje za održavanje kulturnih i sportskih manifestacija, donacije vezane uz turističke agencije za pratnju djecu na izlete i drugo. Obzirom da u proteklom izvještajnom razdoblju nije bilo takvih aktivnosti i programa vrtića, sada se bilježi znatno povećanje.</w:t>
      </w:r>
    </w:p>
    <w:p w14:paraId="20D6DD7C" w14:textId="77777777" w:rsidR="002A7E57" w:rsidRDefault="002A7E57"/>
    <w:p w14:paraId="6DFB9677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14860C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84AD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B09D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6709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A8D7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155E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8A886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224A04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39880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4E6A3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DF322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7544CD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D6A94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E7E25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507,2</w:t>
            </w:r>
          </w:p>
        </w:tc>
      </w:tr>
    </w:tbl>
    <w:p w14:paraId="0CA5BD4E" w14:textId="77777777" w:rsidR="002A7E57" w:rsidRDefault="002A7E57">
      <w:pPr>
        <w:spacing w:after="0"/>
      </w:pPr>
    </w:p>
    <w:p w14:paraId="4D5C149B" w14:textId="77777777" w:rsidR="002A7E57" w:rsidRDefault="00144D21">
      <w:pPr>
        <w:spacing w:line="240" w:lineRule="auto"/>
        <w:jc w:val="both"/>
      </w:pPr>
      <w:r>
        <w:t>U ovom izvještajnom razdoblju zabilježen je znatan rast donacija, povezanih za prijavama na natječaje za održavanje kulturnih i sportskih manifestacija, donacije vezane uz turističke agencije za pratnju djecu na izlete i drugo. Obzirom da u proteklom izvještajnom razdoblju nije bilo takvih aktivnosti i programa vrtića, sada se bilježi znatno povećanje.</w:t>
      </w:r>
    </w:p>
    <w:p w14:paraId="608F4BC8" w14:textId="77777777" w:rsidR="002A7E57" w:rsidRDefault="002A7E57"/>
    <w:p w14:paraId="745B30D0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25E727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C90C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9F2E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7BFD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7589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FAA7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BAE36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23C28B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A24C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922669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8597F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E1E5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97.194,32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E310B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150.080,00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C332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154,4</w:t>
            </w:r>
          </w:p>
        </w:tc>
      </w:tr>
    </w:tbl>
    <w:p w14:paraId="7978FE66" w14:textId="77777777" w:rsidR="002A7E57" w:rsidRDefault="002A7E57">
      <w:pPr>
        <w:spacing w:after="0"/>
      </w:pPr>
    </w:p>
    <w:p w14:paraId="31C4763B" w14:textId="77777777" w:rsidR="002A7E57" w:rsidRDefault="00144D21">
      <w:pPr>
        <w:spacing w:line="240" w:lineRule="auto"/>
        <w:jc w:val="both"/>
      </w:pPr>
      <w:r>
        <w:t>Odnosi se na prihode iz nadležnog proračuna za financiranje rashoda poslovanja u iznosu od 150.080,00 EUR u odnosu na prošlu godinu gdje je iznos sufinanciranja  u tom kontu 6711 iznosio 97.194,32 EUR. Do povećanja dolazi zbog povećanja udjela u plaćanju ekonomske cijene vrtića. Općina Vinica sufinancirala je ekonomsku cijenu vrtića od 60%, međutim povećala je udio financiranja za 10% te sad iznosi 70%.</w:t>
      </w:r>
    </w:p>
    <w:p w14:paraId="58F893EB" w14:textId="77777777" w:rsidR="002A7E57" w:rsidRDefault="002A7E57"/>
    <w:p w14:paraId="534F7A15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3CAB30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B5E0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4248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A99B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8351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94F9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FB33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573E4D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EF0CC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E87968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66692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9B61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97.194,32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AB1E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150.080,00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68FFA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154,4</w:t>
            </w:r>
          </w:p>
        </w:tc>
      </w:tr>
    </w:tbl>
    <w:p w14:paraId="0C20ABC6" w14:textId="77777777" w:rsidR="002A7E57" w:rsidRDefault="002A7E57">
      <w:pPr>
        <w:spacing w:after="0"/>
      </w:pPr>
    </w:p>
    <w:p w14:paraId="5C6A8FCA" w14:textId="77777777" w:rsidR="002A7E57" w:rsidRDefault="00144D21">
      <w:pPr>
        <w:spacing w:line="240" w:lineRule="auto"/>
        <w:jc w:val="both"/>
      </w:pPr>
      <w:r>
        <w:t>Odnosi se na prihode iz nadležnog proračuna za financiranje rashoda poslovanja u iznosu od 150.080,00 EUR u odnosu na prošlu godinu gdje je iznos sufinanciranja  u tom kontu 6711 iznosio 97.194,32 EUR. Do povećanja dolazi zbog povećanja udjela u plaćanju ekonomske cijene vrtića. Općina Vinica sufinancirala je ekonomsku cijenu vrtića od 60%, međutim povećala je udio financiranja za 10% te sad iznosi 70%.</w:t>
      </w:r>
    </w:p>
    <w:p w14:paraId="7F1B0F72" w14:textId="77777777" w:rsidR="002A7E57" w:rsidRDefault="002A7E57"/>
    <w:p w14:paraId="4C2C8B2A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4476AF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3A2B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7671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A677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0547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4319E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0479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20A482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ED240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14968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F7223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A9249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97.194,32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3AF81A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150.080,00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CC168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154,4</w:t>
            </w:r>
          </w:p>
        </w:tc>
      </w:tr>
    </w:tbl>
    <w:p w14:paraId="6240B21D" w14:textId="77777777" w:rsidR="002A7E57" w:rsidRDefault="002A7E57">
      <w:pPr>
        <w:spacing w:after="0"/>
      </w:pPr>
    </w:p>
    <w:p w14:paraId="66FDFCD1" w14:textId="77777777" w:rsidR="002A7E57" w:rsidRDefault="00144D21">
      <w:pPr>
        <w:spacing w:line="240" w:lineRule="auto"/>
        <w:jc w:val="both"/>
      </w:pPr>
      <w:r>
        <w:t>Odnosi se na prihode iz nadležnog proračuna za financiranje rashoda poslovanja u iznosu od 150.080,00 EUR u odnosu na prošlu godinu gdje je iznos sufinanciranja  u tom kontu 6711 iznosio 97.194,32 EUR. Do povećanja dolazi zbog povećanja udjela u plaćanju ekonomske cijene vrtića. Općina Vinica sufinancirala je ekonomsku cijenu vrtića od 60%, međutim povećala je udio financiranja za 10% te sad iznosi 70%.</w:t>
      </w:r>
    </w:p>
    <w:p w14:paraId="38D8C88D" w14:textId="77777777" w:rsidR="002A7E57" w:rsidRDefault="002A7E57"/>
    <w:p w14:paraId="6F928EE7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42370C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1314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C1FE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1843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AFA6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4AD3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4E2A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062D7D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01A0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534487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8BB8B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FAECC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121.170,74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A17FC7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232.255,72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FF3EB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191,7</w:t>
            </w:r>
          </w:p>
        </w:tc>
      </w:tr>
    </w:tbl>
    <w:p w14:paraId="1A3B20B4" w14:textId="77777777" w:rsidR="002A7E57" w:rsidRDefault="002A7E57">
      <w:pPr>
        <w:spacing w:after="0"/>
      </w:pPr>
    </w:p>
    <w:p w14:paraId="69625E79" w14:textId="77777777" w:rsidR="002A7E57" w:rsidRDefault="00144D21">
      <w:pPr>
        <w:spacing w:line="240" w:lineRule="auto"/>
        <w:jc w:val="both"/>
      </w:pPr>
      <w:r>
        <w:t>Ukupni rashodi poslovanja povećali su se u ovom izvještajnom razdoblju zbog povećanja rashoda prema zaposlenima, povećanje cijena energenata, usluga i roba.</w:t>
      </w:r>
    </w:p>
    <w:p w14:paraId="7DCF33ED" w14:textId="77777777" w:rsidR="002A7E57" w:rsidRDefault="002A7E57"/>
    <w:p w14:paraId="1108017D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5AD20F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DCB9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815A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391B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90DF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98E5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5FEF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72A7AD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AC62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806F4D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AD27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8CB8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95.658,45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447D7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195.425,82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4E87C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204,3</w:t>
            </w:r>
          </w:p>
        </w:tc>
      </w:tr>
    </w:tbl>
    <w:p w14:paraId="25BE640C" w14:textId="77777777" w:rsidR="002A7E57" w:rsidRDefault="002A7E57">
      <w:pPr>
        <w:spacing w:after="0"/>
      </w:pPr>
    </w:p>
    <w:p w14:paraId="1410DBA1" w14:textId="77777777" w:rsidR="002A7E57" w:rsidRDefault="00144D21">
      <w:pPr>
        <w:spacing w:line="240" w:lineRule="auto"/>
        <w:jc w:val="both"/>
      </w:pPr>
      <w:r>
        <w:t>Bilježe velik rast zbog usklađenja osnovica plaća prema čl. 51. st.1. Zakona o predškolskom odgoju i obrazovanju (Narodne novine 10/97, 107/07/, 94/13, 57/22, 101/23), gdje se osnovica povećala ali i koeficijenti po radnim mjestima. Zbog iznimnog zalaganja djelatnica dječjeg vrtića na manifestacijama, ali i u odgojno obrazovnom radu  također su se povećali i ostali nenavedeni rashodi kao što su regres, uskrsnice te nagrade.</w:t>
      </w:r>
    </w:p>
    <w:p w14:paraId="65C67CF6" w14:textId="77777777" w:rsidR="002A7E57" w:rsidRDefault="002A7E57"/>
    <w:p w14:paraId="0AB4E288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30B286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323DE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3D8C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0686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1A85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497B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CBCC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0B3B94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C26FC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00821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B7F7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A5498D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78.811,21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379D7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158.885,67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62239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201,6</w:t>
            </w:r>
          </w:p>
        </w:tc>
      </w:tr>
    </w:tbl>
    <w:p w14:paraId="07C01AF5" w14:textId="77777777" w:rsidR="002A7E57" w:rsidRDefault="002A7E57">
      <w:pPr>
        <w:spacing w:after="0"/>
      </w:pPr>
    </w:p>
    <w:p w14:paraId="6FD6E206" w14:textId="77777777" w:rsidR="002A7E57" w:rsidRDefault="00144D21">
      <w:pPr>
        <w:spacing w:line="240" w:lineRule="auto"/>
        <w:jc w:val="both"/>
      </w:pPr>
      <w:r>
        <w:t>Bilježe velik rast zbog usklađenja osnovica plaća prema čl. 51. st.1. Zakona o predškolskom odgoju i obrazovanju (Narodne novine 10/97, 107/07/, 94/13, 57/22, 101/23), gdje se osnovica povećala ali i koeficijenti po radnim mjestima.</w:t>
      </w:r>
    </w:p>
    <w:p w14:paraId="21A9E2CA" w14:textId="77777777" w:rsidR="002A7E57" w:rsidRDefault="002A7E57"/>
    <w:p w14:paraId="0D6E145C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73031F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FD10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20D6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9BDF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90BB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234C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0A2D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1D658D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F149C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F68D7F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F1F65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452DD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78.811,21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BB4B6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158.885,67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08E7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201,6</w:t>
            </w:r>
          </w:p>
        </w:tc>
      </w:tr>
    </w:tbl>
    <w:p w14:paraId="5BF4F1EE" w14:textId="77777777" w:rsidR="002A7E57" w:rsidRDefault="002A7E57">
      <w:pPr>
        <w:spacing w:after="0"/>
      </w:pPr>
    </w:p>
    <w:p w14:paraId="5EF213C5" w14:textId="77777777" w:rsidR="002A7E57" w:rsidRDefault="00144D21">
      <w:pPr>
        <w:spacing w:line="240" w:lineRule="auto"/>
        <w:jc w:val="both"/>
      </w:pPr>
      <w:r>
        <w:t>Bilježe velik rast zbog usklađenja osnovica plaća prema čl. 51. st.1. Zakona o predškolskom odgoju i obrazovanju (Narodne novine 10/97, 107/07/, 94/13, 57/22, 101/23), gdje se osnovica povećala ali i koeficijenti po radnim mjestima.</w:t>
      </w:r>
    </w:p>
    <w:p w14:paraId="07ED6461" w14:textId="77777777" w:rsidR="002A7E57" w:rsidRDefault="002A7E57"/>
    <w:p w14:paraId="3930A1B9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44472B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910C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62CB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F253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30DF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A860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5A71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316061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2AADC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71A2BE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D57B8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B221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4.692,80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668B9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11.314,16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C61CA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241,1</w:t>
            </w:r>
          </w:p>
        </w:tc>
      </w:tr>
    </w:tbl>
    <w:p w14:paraId="59851F74" w14:textId="77777777" w:rsidR="002A7E57" w:rsidRDefault="002A7E57">
      <w:pPr>
        <w:spacing w:after="0"/>
      </w:pPr>
    </w:p>
    <w:p w14:paraId="63149515" w14:textId="77777777" w:rsidR="002A7E57" w:rsidRDefault="00144D21">
      <w:pPr>
        <w:spacing w:line="240" w:lineRule="auto"/>
        <w:jc w:val="both"/>
      </w:pPr>
      <w:r>
        <w:t>Ova vrsta rashoda bilježi rast obzirom na povećanje u iznosima regresa, nagrada ali i uskrsnica u odnosu na prethodno izvještajno razdoblje.</w:t>
      </w:r>
    </w:p>
    <w:p w14:paraId="27A82EB5" w14:textId="77777777" w:rsidR="002A7E57" w:rsidRDefault="002A7E57"/>
    <w:p w14:paraId="7A1494B1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5DC16E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93A5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F248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9D0A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64D3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D19D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40A7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5840E4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E381B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7B5C4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0861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74AF9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12.154,44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022A4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25.225,99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DED2E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207,5</w:t>
            </w:r>
          </w:p>
        </w:tc>
      </w:tr>
    </w:tbl>
    <w:p w14:paraId="4C8597EE" w14:textId="77777777" w:rsidR="002A7E57" w:rsidRDefault="002A7E57">
      <w:pPr>
        <w:spacing w:after="0"/>
      </w:pPr>
    </w:p>
    <w:p w14:paraId="3C225EA0" w14:textId="77777777" w:rsidR="002A7E57" w:rsidRDefault="00144D21">
      <w:pPr>
        <w:spacing w:line="240" w:lineRule="auto"/>
        <w:jc w:val="both"/>
      </w:pPr>
      <w:r>
        <w:t>Zbog povećanja plaća u izvještajnom razdoblju također su se povećali doprinosi na plaće.</w:t>
      </w:r>
    </w:p>
    <w:p w14:paraId="0D94FFD0" w14:textId="77777777" w:rsidR="002A7E57" w:rsidRDefault="002A7E57"/>
    <w:p w14:paraId="28268051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67D164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56E4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4853E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8612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3256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DAD6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297A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176E9D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C575C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5064A0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11FCC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DAE8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12.154,44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C32B9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25.225,99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2D55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207,5</w:t>
            </w:r>
          </w:p>
        </w:tc>
      </w:tr>
    </w:tbl>
    <w:p w14:paraId="0991BBD2" w14:textId="77777777" w:rsidR="002A7E57" w:rsidRDefault="002A7E57">
      <w:pPr>
        <w:spacing w:after="0"/>
      </w:pPr>
    </w:p>
    <w:p w14:paraId="36DF184B" w14:textId="77777777" w:rsidR="002A7E57" w:rsidRDefault="00144D21">
      <w:pPr>
        <w:spacing w:line="240" w:lineRule="auto"/>
        <w:jc w:val="both"/>
      </w:pPr>
      <w:r>
        <w:t>Zbog povećanja plaća u izvještajnom razdoblju također su se povećali doprinosi na plaće.</w:t>
      </w:r>
    </w:p>
    <w:p w14:paraId="27B3C725" w14:textId="77777777" w:rsidR="002A7E57" w:rsidRDefault="002A7E57"/>
    <w:p w14:paraId="36EB9E60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3255BA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78ABE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2418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90C8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3205E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D70E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0C44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763A61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FAF65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28851E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7980E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127DB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25.133,03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C2BD1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36.385,17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C4471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144,8</w:t>
            </w:r>
          </w:p>
        </w:tc>
      </w:tr>
    </w:tbl>
    <w:p w14:paraId="38CB370F" w14:textId="77777777" w:rsidR="002A7E57" w:rsidRDefault="002A7E57">
      <w:pPr>
        <w:spacing w:after="0"/>
      </w:pPr>
    </w:p>
    <w:p w14:paraId="670C0766" w14:textId="77777777" w:rsidR="002A7E57" w:rsidRDefault="00144D21">
      <w:pPr>
        <w:spacing w:line="240" w:lineRule="auto"/>
        <w:jc w:val="both"/>
      </w:pPr>
      <w:r>
        <w:t>Zbog povećanja svih rashoda po razinama kumulativno dolazi do povećanje skupine 32 u odnosu na proteklo razdoblje.</w:t>
      </w:r>
    </w:p>
    <w:p w14:paraId="5384C2CC" w14:textId="77777777" w:rsidR="002A7E57" w:rsidRDefault="002A7E57"/>
    <w:p w14:paraId="2731F7C8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2410CB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B8E2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9F1A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8219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E08E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87EB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191B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082BFA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A0E22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0CFD7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503F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5601FB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6DFB6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6.577,45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127AE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201,8</w:t>
            </w:r>
          </w:p>
        </w:tc>
      </w:tr>
    </w:tbl>
    <w:p w14:paraId="1A36EF5A" w14:textId="77777777" w:rsidR="002A7E57" w:rsidRDefault="002A7E57">
      <w:pPr>
        <w:spacing w:after="0"/>
      </w:pPr>
    </w:p>
    <w:p w14:paraId="48890F29" w14:textId="77777777" w:rsidR="002A7E57" w:rsidRDefault="00144D21">
      <w:pPr>
        <w:spacing w:line="240" w:lineRule="auto"/>
        <w:jc w:val="both"/>
      </w:pPr>
      <w:r>
        <w:t>Bilježi rast u izvještajnom razdoblju, a odnosi se na naknade za prijevoz, naknade za korištenje vlastitog automobila u službene svrhe gdje je zabilježena velika stavka obzirom da neke djelatnice pohađaju škole osposobljavanja za sportske programe te programe za napredne.</w:t>
      </w:r>
    </w:p>
    <w:p w14:paraId="4D176BF7" w14:textId="77777777" w:rsidR="002A7E57" w:rsidRDefault="002A7E57"/>
    <w:p w14:paraId="1695B4EE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2C2ACD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ACBE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D34A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A05C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C304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417B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E82C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32E184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FFCDF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649F79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6C217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90EF8E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42F686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847A6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606,5</w:t>
            </w:r>
          </w:p>
        </w:tc>
      </w:tr>
    </w:tbl>
    <w:p w14:paraId="10A0EF69" w14:textId="77777777" w:rsidR="002A7E57" w:rsidRDefault="002A7E57">
      <w:pPr>
        <w:spacing w:after="0"/>
      </w:pPr>
    </w:p>
    <w:p w14:paraId="090D4506" w14:textId="77777777" w:rsidR="002A7E57" w:rsidRDefault="00144D21">
      <w:pPr>
        <w:spacing w:line="240" w:lineRule="auto"/>
        <w:jc w:val="both"/>
      </w:pPr>
      <w:r>
        <w:t>Bilježi rast u izvještajnom razdoblju, a odnosi se na stavku - naknada za korištenje vlastitog automobila u službene svrhe, gdje je zabilježena velika stavka obzirom da neke djelatnice pohađaju škole osposobljavanja za sportske programe te programe za napredne te su u izvještajnom razdoblju koristile vlastiti automobil za odlazak do Zagreba za vrijeme trajanja osposobljavanja. Također je tu stavka prijevoza ravnateljice na službena događanja i sastanke.</w:t>
      </w:r>
    </w:p>
    <w:p w14:paraId="5D1D9B4B" w14:textId="77777777" w:rsidR="002A7E57" w:rsidRDefault="002A7E57"/>
    <w:p w14:paraId="53DB7B37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2FB4D3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2C73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0975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9C336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2BEB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B52F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B8BF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1F635F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3AB3F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6D7B7C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71798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0EA0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14.827,14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DDDC49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20.681,29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8D80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139,5</w:t>
            </w:r>
          </w:p>
        </w:tc>
      </w:tr>
    </w:tbl>
    <w:p w14:paraId="42416004" w14:textId="77777777" w:rsidR="002A7E57" w:rsidRDefault="002A7E57">
      <w:pPr>
        <w:spacing w:after="0"/>
      </w:pPr>
    </w:p>
    <w:p w14:paraId="610D5670" w14:textId="77777777" w:rsidR="002A7E57" w:rsidRDefault="00144D21">
      <w:pPr>
        <w:spacing w:line="240" w:lineRule="auto"/>
        <w:jc w:val="both"/>
      </w:pPr>
      <w:r>
        <w:t>U izvještajnom razdoblju došlo je do povećanje cijena energenata i usluga</w:t>
      </w:r>
    </w:p>
    <w:p w14:paraId="57B9F07C" w14:textId="77777777" w:rsidR="002A7E57" w:rsidRDefault="002A7E57"/>
    <w:p w14:paraId="134BB12C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1C9D14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89C9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BD16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E1F8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BA10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E865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4221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5E0685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F3FDB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E1958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1C472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9F49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876DA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48607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157,5</w:t>
            </w:r>
          </w:p>
        </w:tc>
      </w:tr>
    </w:tbl>
    <w:p w14:paraId="3B43DE9F" w14:textId="77777777" w:rsidR="002A7E57" w:rsidRDefault="002A7E57">
      <w:pPr>
        <w:spacing w:after="0"/>
      </w:pPr>
    </w:p>
    <w:p w14:paraId="35C05540" w14:textId="77777777" w:rsidR="002A7E57" w:rsidRDefault="00144D21">
      <w:pPr>
        <w:spacing w:line="240" w:lineRule="auto"/>
        <w:jc w:val="both"/>
      </w:pPr>
      <w:r>
        <w:t>Zbog povećanih aktivnosti u djelovanju dječjeg vrtića Vinica, došlo je i do potreba za većim brojem izrada panoa, slika te u konačnosti izrade svih vrsta dekoracija i ostalo.</w:t>
      </w:r>
    </w:p>
    <w:p w14:paraId="2E9349C6" w14:textId="77777777" w:rsidR="002A7E57" w:rsidRDefault="002A7E57"/>
    <w:p w14:paraId="6381FC61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4C1EA1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C121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E078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4328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2D5AE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C6B5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F1ED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1B740A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B6592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E461D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A39BD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5F03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8.403,75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C23D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11.140,97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72CF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132,6</w:t>
            </w:r>
          </w:p>
        </w:tc>
      </w:tr>
    </w:tbl>
    <w:p w14:paraId="4DD0CC85" w14:textId="77777777" w:rsidR="002A7E57" w:rsidRDefault="002A7E57">
      <w:pPr>
        <w:spacing w:after="0"/>
      </w:pPr>
    </w:p>
    <w:p w14:paraId="5E42F22A" w14:textId="77777777" w:rsidR="002A7E57" w:rsidRDefault="00144D21">
      <w:pPr>
        <w:spacing w:line="240" w:lineRule="auto"/>
        <w:jc w:val="both"/>
      </w:pPr>
      <w:r>
        <w:t>Povećanje cijena osnovnih namirnica u odnosu na proteklo izvještajno razdoblje rezultiralo je povećanjem indeksa u ovoj skupini rashoda.</w:t>
      </w:r>
    </w:p>
    <w:p w14:paraId="49512C05" w14:textId="77777777" w:rsidR="002A7E57" w:rsidRDefault="002A7E57"/>
    <w:p w14:paraId="4A1291D5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7185D9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1864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9FD5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96D8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C2D0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88D5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1DDC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5AAC25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6DB6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B6B7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6696F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7797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B1E79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6CDECD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141,3</w:t>
            </w:r>
          </w:p>
        </w:tc>
      </w:tr>
    </w:tbl>
    <w:p w14:paraId="1938E66C" w14:textId="77777777" w:rsidR="002A7E57" w:rsidRDefault="002A7E57">
      <w:pPr>
        <w:spacing w:after="0"/>
      </w:pPr>
    </w:p>
    <w:p w14:paraId="36EC7C7A" w14:textId="77777777" w:rsidR="002A7E57" w:rsidRDefault="00144D21">
      <w:pPr>
        <w:spacing w:line="240" w:lineRule="auto"/>
        <w:jc w:val="both"/>
      </w:pPr>
      <w:r>
        <w:t>Povećanje cijene energenata u izvještajnom razdoblju te također duža zima, rezultirali su i povećanjem ukupnih rashoda po ovoj stavci.</w:t>
      </w:r>
    </w:p>
    <w:p w14:paraId="2970137D" w14:textId="77777777" w:rsidR="002A7E57" w:rsidRDefault="002A7E57"/>
    <w:p w14:paraId="4BA85A9B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469BD4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8CEFE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9A23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0FDD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5C24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AA34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6252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3227CF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7DD73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675E78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FE555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DA925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EE448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87119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14:paraId="3C44F94C" w14:textId="77777777" w:rsidR="002A7E57" w:rsidRDefault="002A7E57">
      <w:pPr>
        <w:spacing w:after="0"/>
      </w:pPr>
    </w:p>
    <w:p w14:paraId="3D1CB8AB" w14:textId="77777777" w:rsidR="002A7E57" w:rsidRDefault="00144D21">
      <w:pPr>
        <w:spacing w:line="240" w:lineRule="auto"/>
        <w:jc w:val="both"/>
      </w:pPr>
      <w:r>
        <w:t>zbog provedbe programa "</w:t>
      </w:r>
      <w:proofErr w:type="spellStart"/>
      <w:r>
        <w:t>Smartići</w:t>
      </w:r>
      <w:proofErr w:type="spellEnd"/>
      <w:r>
        <w:t>" u ovom se izvještajnom razdoblju navabio veći broj didaktike te je to razlog povećanje indeksa u odnosu na proteklo izvještajno razdoblje.</w:t>
      </w:r>
    </w:p>
    <w:p w14:paraId="11E54CB8" w14:textId="77777777" w:rsidR="002A7E57" w:rsidRDefault="002A7E57"/>
    <w:p w14:paraId="24BCE518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35588C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D90A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4173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B4ED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CF20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E326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FE81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10A796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EA6CF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F22339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E1B3E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81C0D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8E26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1A44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24,3</w:t>
            </w:r>
          </w:p>
        </w:tc>
      </w:tr>
    </w:tbl>
    <w:p w14:paraId="083DDA66" w14:textId="77777777" w:rsidR="002A7E57" w:rsidRDefault="002A7E57">
      <w:pPr>
        <w:spacing w:after="0"/>
      </w:pPr>
    </w:p>
    <w:p w14:paraId="47F0270A" w14:textId="77777777" w:rsidR="002A7E57" w:rsidRDefault="00144D21">
      <w:pPr>
        <w:spacing w:line="240" w:lineRule="auto"/>
        <w:jc w:val="both"/>
      </w:pPr>
      <w:r>
        <w:t>Smanjenje indeksa u ovom razdoblju zbog toga jer se samo odnosi na održavanje postojećih paketa, dok su se u proteklom razdoblju odrađivale usluge obuke, instalacije i drugo aplikacija "</w:t>
      </w:r>
      <w:proofErr w:type="spellStart"/>
      <w:r>
        <w:t>Diar</w:t>
      </w:r>
      <w:proofErr w:type="spellEnd"/>
      <w:r>
        <w:t>".</w:t>
      </w:r>
    </w:p>
    <w:p w14:paraId="63167602" w14:textId="77777777" w:rsidR="002A7E57" w:rsidRDefault="002A7E57"/>
    <w:p w14:paraId="6FBA2096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1601ED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10FF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EE2D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0C64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3041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06A4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9042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1F4888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2B427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62105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DA963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81C7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8275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6.534,87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92976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245,2</w:t>
            </w:r>
          </w:p>
        </w:tc>
      </w:tr>
    </w:tbl>
    <w:p w14:paraId="3CA1FCAA" w14:textId="77777777" w:rsidR="002A7E57" w:rsidRDefault="002A7E57">
      <w:pPr>
        <w:spacing w:after="0"/>
      </w:pPr>
    </w:p>
    <w:p w14:paraId="2D66E7EA" w14:textId="77777777" w:rsidR="002A7E57" w:rsidRDefault="00144D21">
      <w:pPr>
        <w:spacing w:line="240" w:lineRule="auto"/>
        <w:jc w:val="both"/>
      </w:pPr>
      <w:r>
        <w:t xml:space="preserve">Znatno povećanje indeksa  odnosi se na povećanje aktivnosti i rada dječjeg vrtića. Konkretno dječji vrtić provodi brojne manifestacije od kojih su "Vinkajček" smotra dječjeg dramskog stvaralaštva gdje ima velik broj sudionika iz ostalih vrtića;  ove se godine organizirala i 1. Olimpijada Dječjeg vrtića Vinica. Svi troškovi organizacije vode se u ovoj skupini te je iz tog razloga veliki rast u odnosu na prethodno izvještajno razdoblje.  Također je i skupini manifestacija Završna priredba i predstava povodom </w:t>
      </w:r>
      <w:r>
        <w:t>završetka pedagoške godine.</w:t>
      </w:r>
    </w:p>
    <w:p w14:paraId="5FDBD3E6" w14:textId="77777777" w:rsidR="002A7E57" w:rsidRDefault="002A7E57"/>
    <w:p w14:paraId="0F5CFADF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66FEB1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0E81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4CB9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2546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D3F1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98A3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7BF9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5C9C01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B5916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9571FD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2DE50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77003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111D5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60434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31,5</w:t>
            </w:r>
          </w:p>
        </w:tc>
      </w:tr>
    </w:tbl>
    <w:p w14:paraId="67E13878" w14:textId="77777777" w:rsidR="002A7E57" w:rsidRDefault="002A7E57">
      <w:pPr>
        <w:spacing w:after="0"/>
      </w:pPr>
    </w:p>
    <w:p w14:paraId="46405140" w14:textId="77777777" w:rsidR="002A7E57" w:rsidRDefault="00144D21">
      <w:pPr>
        <w:spacing w:line="240" w:lineRule="auto"/>
        <w:jc w:val="both"/>
      </w:pPr>
      <w:r>
        <w:t xml:space="preserve">Bilježi pad u odnosu na prethodno razdoblje zbog manjeg broja održanih sjednica Upravnog vijeća Dječjeg vrtića Vinica. Naime predstavničko tijelo DV </w:t>
      </w:r>
      <w:proofErr w:type="spellStart"/>
      <w:r>
        <w:t>VInica</w:t>
      </w:r>
      <w:proofErr w:type="spellEnd"/>
      <w:r>
        <w:t xml:space="preserve"> je Upravno vijeće dječjeg vrtića Vinica, koje se sastaje prema potrebi donošenja odluka. U prethodnom izvještajnom razdoblju bilo je promjena ravnateljice, koeficijenata plaća, izmjena i dopuna Poslovnog plana te samim time i veći broj održanih sjednica. U ovom izvještajnom razdoblju održane su samo 2 sjednice te ja zato zabilježen pad indeksa.</w:t>
      </w:r>
    </w:p>
    <w:p w14:paraId="2C79CF2E" w14:textId="77777777" w:rsidR="002A7E57" w:rsidRDefault="002A7E57"/>
    <w:p w14:paraId="580DE3C3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48DB37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797B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331B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6760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B71E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E09C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9129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199017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E7B4D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D070D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43B8A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CF15A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3E9D4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E4595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289,6</w:t>
            </w:r>
          </w:p>
        </w:tc>
      </w:tr>
    </w:tbl>
    <w:p w14:paraId="47D9064F" w14:textId="77777777" w:rsidR="002A7E57" w:rsidRDefault="002A7E57">
      <w:pPr>
        <w:spacing w:after="0"/>
      </w:pPr>
    </w:p>
    <w:p w14:paraId="6BD3DB8A" w14:textId="77777777" w:rsidR="002A7E57" w:rsidRDefault="00144D21">
      <w:pPr>
        <w:spacing w:line="240" w:lineRule="auto"/>
        <w:jc w:val="both"/>
      </w:pPr>
      <w:r>
        <w:t>Pošto su se organizirale razne manifestacije u ovom izvještajnom razdoblju, također se i sama reprezentacija malo povećala jer su se partnerima nabavili reprezentativni pokloni.</w:t>
      </w:r>
    </w:p>
    <w:p w14:paraId="399A2AFA" w14:textId="77777777" w:rsidR="002A7E57" w:rsidRDefault="002A7E57"/>
    <w:p w14:paraId="6A6F9DBF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4DE954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39BE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1B06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87EE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98C4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7859D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DC19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397123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A72CB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C27F8F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4520F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D03BC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5078F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5.946,83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FBEA1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498,4</w:t>
            </w:r>
          </w:p>
        </w:tc>
      </w:tr>
    </w:tbl>
    <w:p w14:paraId="4478EAE3" w14:textId="77777777" w:rsidR="002A7E57" w:rsidRDefault="002A7E57">
      <w:pPr>
        <w:spacing w:after="0"/>
      </w:pPr>
    </w:p>
    <w:p w14:paraId="6DD7E300" w14:textId="77777777" w:rsidR="002A7E57" w:rsidRDefault="00144D21">
      <w:pPr>
        <w:spacing w:line="240" w:lineRule="auto"/>
        <w:jc w:val="both"/>
      </w:pPr>
      <w:r>
        <w:lastRenderedPageBreak/>
        <w:t>Znatno povećanje indeksa u nespomenutim rashodima odnosi se na povećanje aktivnosti i rada dječjeg vrtića. Konkretno dječji vrtić provodi brojne manifestacije od kojih su "Vinkajček" smotra dječjeg dramskog stvaralaštva gdje ima velik broj sudionika iz ostalih vrtića;  ove se godine organizirala i 1. Olimpijada Dječjeg vrtića Vinica. Svi troškovi organizacije vode se u ovoj skupini te je iz tog razloga veliki rast u odnosu na prethodno izvještajno razdoblje.  Također je i skupini manifestacija Završna prire</w:t>
      </w:r>
      <w:r>
        <w:t>dba i predstava povodom završetka pedagoške godine.</w:t>
      </w:r>
    </w:p>
    <w:p w14:paraId="0E2C5D5B" w14:textId="77777777" w:rsidR="002A7E57" w:rsidRDefault="002A7E57"/>
    <w:p w14:paraId="57062454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5A9745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C942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CED7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DEE4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A042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E7CD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8768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421A7D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AA4A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6B30FF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38592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8113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89F3B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15BC6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</w:tbl>
    <w:p w14:paraId="0D494397" w14:textId="77777777" w:rsidR="002A7E57" w:rsidRDefault="002A7E57">
      <w:pPr>
        <w:spacing w:after="0"/>
      </w:pPr>
    </w:p>
    <w:p w14:paraId="4EB2BEAA" w14:textId="77777777" w:rsidR="002A7E57" w:rsidRDefault="00144D21">
      <w:pPr>
        <w:spacing w:line="240" w:lineRule="auto"/>
        <w:jc w:val="both"/>
      </w:pPr>
      <w:r>
        <w:t>Povećanje indeksa bilježi se zbog povećanih transakcija i poskupljenja cijena bankarskih usluga.</w:t>
      </w:r>
    </w:p>
    <w:p w14:paraId="3A494C2F" w14:textId="77777777" w:rsidR="002A7E57" w:rsidRDefault="002A7E57"/>
    <w:p w14:paraId="28FC8B68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163519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CD092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A6F4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C6CA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05B5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D066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A6EB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622CDC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85DC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D1E3EB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1A5A9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CFE76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AEC4E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83458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</w:tbl>
    <w:p w14:paraId="6E1F6D3A" w14:textId="77777777" w:rsidR="002A7E57" w:rsidRDefault="002A7E57">
      <w:pPr>
        <w:spacing w:after="0"/>
      </w:pPr>
    </w:p>
    <w:p w14:paraId="46AE3238" w14:textId="77777777" w:rsidR="002A7E57" w:rsidRDefault="00144D21">
      <w:pPr>
        <w:spacing w:line="240" w:lineRule="auto"/>
        <w:jc w:val="both"/>
      </w:pPr>
      <w:r>
        <w:t>Povećanje indeksa bilježi se zbog povećanih transakcija i poskupljenja cijena bankarskih usluga.</w:t>
      </w:r>
    </w:p>
    <w:p w14:paraId="23C97AC4" w14:textId="77777777" w:rsidR="002A7E57" w:rsidRDefault="002A7E57"/>
    <w:p w14:paraId="037784AD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62F28F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9A1AA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BAECE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DE99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6BD5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98B2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BBF3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25C9BF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53188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C9DCA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235D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7CCFA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F46D2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CC261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</w:tbl>
    <w:p w14:paraId="47CF2C81" w14:textId="77777777" w:rsidR="002A7E57" w:rsidRDefault="002A7E57">
      <w:pPr>
        <w:spacing w:after="0"/>
      </w:pPr>
    </w:p>
    <w:p w14:paraId="71EB2A53" w14:textId="77777777" w:rsidR="002A7E57" w:rsidRDefault="00144D21">
      <w:pPr>
        <w:spacing w:line="240" w:lineRule="auto"/>
        <w:jc w:val="both"/>
      </w:pPr>
      <w:r>
        <w:t>Povećanje indeksa bilježi se zbog povećanih transakcija i poskupljenja cijena bankarskih usluga.</w:t>
      </w:r>
    </w:p>
    <w:p w14:paraId="65C3ADB5" w14:textId="77777777" w:rsidR="002A7E57" w:rsidRDefault="002A7E57"/>
    <w:p w14:paraId="1EEBE6D3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77CDBD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2FFF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2CCB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3AF5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98A6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01C76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0C2CB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069791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CD36F" w14:textId="77777777" w:rsidR="002A7E57" w:rsidRDefault="002A7E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A8115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DB2B5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DB8E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121.170,74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A2B3C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232.255,72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99009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191,7</w:t>
            </w:r>
          </w:p>
        </w:tc>
      </w:tr>
    </w:tbl>
    <w:p w14:paraId="7FA442C9" w14:textId="77777777" w:rsidR="002A7E57" w:rsidRDefault="002A7E57">
      <w:pPr>
        <w:spacing w:after="0"/>
      </w:pPr>
    </w:p>
    <w:p w14:paraId="5BA31985" w14:textId="77777777" w:rsidR="002A7E57" w:rsidRDefault="00144D21">
      <w:pPr>
        <w:spacing w:line="240" w:lineRule="auto"/>
        <w:jc w:val="both"/>
      </w:pPr>
      <w:r>
        <w:t>Povećali su se u odnosu na prethodno razdoblje prvenstveno zbog povećanja plaća i materijalnih rashoda zaposlenih, zbog usklađenja osnovica za obračun plaća zaposlenih u dječjim vrtićima sa člankom 51. st. 1. Zakona o predškolskom odgoju i obrazovanju(Narodne novine 10/97, 107/07, 94/13, 98/19, 57/22, 101/23) , ali i usklađenja koeficijenata za obračun plaća.  Povećanje ukupnih rashoda poslovanja leži i u povećanju cijene energenata, usluga  i roba, što sve zajedno rezultira znatnim povećanjem rashoda u izv</w:t>
      </w:r>
      <w:r>
        <w:t>ještajnom razdoblju u odnosu na proteklo.</w:t>
      </w:r>
    </w:p>
    <w:p w14:paraId="1B16F0F0" w14:textId="77777777" w:rsidR="002A7E57" w:rsidRDefault="002A7E57"/>
    <w:p w14:paraId="5A25F70F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1CBA95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3EC6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182E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80DC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51256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D49EE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9FD64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3BACEA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AEEB7" w14:textId="77777777" w:rsidR="002A7E57" w:rsidRDefault="002A7E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A4C1DE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E1DE4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D8F2B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42.486,97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A33B6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E891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6,0</w:t>
            </w:r>
          </w:p>
        </w:tc>
      </w:tr>
    </w:tbl>
    <w:p w14:paraId="73A479DC" w14:textId="77777777" w:rsidR="002A7E57" w:rsidRDefault="002A7E57">
      <w:pPr>
        <w:spacing w:after="0"/>
      </w:pPr>
    </w:p>
    <w:p w14:paraId="07E3E57C" w14:textId="77777777" w:rsidR="002A7E57" w:rsidRDefault="00144D21">
      <w:pPr>
        <w:spacing w:line="240" w:lineRule="auto"/>
        <w:jc w:val="both"/>
      </w:pPr>
      <w:r>
        <w:t>U proteklom izvještajnom razdoblju nije se uključio trošak plaće za lipanj 2024. te se sada ta stavka korigirala, te je u konačnici rezultirala smanjenjem viška prihoda prema indeksu.</w:t>
      </w:r>
    </w:p>
    <w:p w14:paraId="4CE78390" w14:textId="77777777" w:rsidR="002A7E57" w:rsidRDefault="002A7E57"/>
    <w:p w14:paraId="68AF0A05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545D8A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05270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74663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42A8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0E387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55B0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20319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6C6B0C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B42D0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5EEBA0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2063B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35EC9C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2FB14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72960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443,7</w:t>
            </w:r>
          </w:p>
        </w:tc>
      </w:tr>
    </w:tbl>
    <w:p w14:paraId="61BD6065" w14:textId="77777777" w:rsidR="002A7E57" w:rsidRDefault="002A7E57">
      <w:pPr>
        <w:spacing w:after="0"/>
      </w:pPr>
    </w:p>
    <w:p w14:paraId="39280032" w14:textId="77777777" w:rsidR="002A7E57" w:rsidRDefault="00144D21">
      <w:pPr>
        <w:spacing w:line="240" w:lineRule="auto"/>
        <w:jc w:val="both"/>
      </w:pPr>
      <w:r>
        <w:t>Odnosi se na uplate cijene dječjih vrtića od strane roditelja. Naime zabilježeno je tek nekoliko dužnika od kojih nisu uspjela se naplatiti potraživanja. U međuvremenu pokrenute su sve aktivnosti da se postojeći prihodi naplate.</w:t>
      </w:r>
    </w:p>
    <w:p w14:paraId="4E9C6185" w14:textId="77777777" w:rsidR="002A7E57" w:rsidRDefault="002A7E57"/>
    <w:p w14:paraId="6055FF9C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E57" w14:paraId="160DF5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BEAC6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A855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B666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35B0C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8C3F5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27DB8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198EDD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E357D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A6C7C9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članovima predstavničkih i izvršnih tijela i upravnih vijeća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B5FE2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AA303A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8F3B8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A9ABC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31,5</w:t>
            </w:r>
          </w:p>
        </w:tc>
      </w:tr>
    </w:tbl>
    <w:p w14:paraId="18CD16B0" w14:textId="77777777" w:rsidR="002A7E57" w:rsidRDefault="002A7E57">
      <w:pPr>
        <w:spacing w:after="0"/>
      </w:pPr>
    </w:p>
    <w:p w14:paraId="0EEC2280" w14:textId="77777777" w:rsidR="002A7E57" w:rsidRDefault="00144D21">
      <w:pPr>
        <w:spacing w:line="240" w:lineRule="auto"/>
        <w:jc w:val="both"/>
      </w:pPr>
      <w:r>
        <w:t>Manjak broj sjednica Upravnog vijeća dječjeg vrtića Vinica.</w:t>
      </w:r>
    </w:p>
    <w:p w14:paraId="13F443B2" w14:textId="77777777" w:rsidR="002A7E57" w:rsidRDefault="002A7E57"/>
    <w:p w14:paraId="1CD5CA2D" w14:textId="77777777" w:rsidR="002A7E57" w:rsidRDefault="00144D2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0B9D0E7" w14:textId="77777777" w:rsidR="002A7E57" w:rsidRDefault="00144D21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A7E57" w14:paraId="7A89E1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FFC5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182CE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3FED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35391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9D1FF" w14:textId="77777777" w:rsidR="002A7E57" w:rsidRDefault="00144D2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A7E57" w14:paraId="49123E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C3296" w14:textId="77777777" w:rsidR="002A7E57" w:rsidRDefault="002A7E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1D6C0C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6F41B" w14:textId="77777777" w:rsidR="002A7E57" w:rsidRDefault="00144D2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F914A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5A9DC" w14:textId="77777777" w:rsidR="002A7E57" w:rsidRDefault="00144D2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C04FA6A" w14:textId="77777777" w:rsidR="002A7E57" w:rsidRDefault="002A7E57">
      <w:pPr>
        <w:spacing w:after="0"/>
      </w:pPr>
    </w:p>
    <w:p w14:paraId="46079910" w14:textId="77777777" w:rsidR="002A7E57" w:rsidRDefault="00144D21">
      <w:pPr>
        <w:spacing w:line="240" w:lineRule="auto"/>
        <w:jc w:val="both"/>
      </w:pPr>
      <w:r>
        <w:t>Dječji vrtić Vinica, redovito podmiruje sve dospjele obveze te vezano uz to nema na dan 30.06.2025. dospjelih obveza.  Dječji vrtić Vinica u razdoblju od 01. siječnja do 30. lipnja 2025. godine ostvario je obveze za rashode poslovanja (N23) u iznosu od 232.255,72 EUR.  Ukupno podmirene obveze (V004) u navedenom razdoblju iznose 228.968,10 EUR.  Stanje obveza na kraju izvještajnog razdoblja iznosi  35.697,63 EUR (V006), od čega stanje dospjelih obveza (V007) iznosi  0,00 EUR. Iznos od 35.697,63 EUR nedospjel</w:t>
      </w:r>
      <w:r>
        <w:t>ih obveza (V009) na kraju izvještajnog razdoblja odnosi se na obveze za rashode poslovanja u smislu podmirenja tekućih materijalnih rashoda te plaće zaposlenih za lipanj 2025.</w:t>
      </w:r>
    </w:p>
    <w:p w14:paraId="2C87CB83" w14:textId="77777777" w:rsidR="002A7E57" w:rsidRDefault="002A7E57"/>
    <w:sectPr w:rsidR="002A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57"/>
    <w:rsid w:val="00144D21"/>
    <w:rsid w:val="002A7E57"/>
    <w:rsid w:val="005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58F8"/>
  <w15:docId w15:val="{ECD8134C-7EE9-46CD-8A58-87ADE631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4405</Words>
  <Characters>25110</Characters>
  <Application>Microsoft Office Word</Application>
  <DocSecurity>0</DocSecurity>
  <Lines>209</Lines>
  <Paragraphs>58</Paragraphs>
  <ScaleCrop>false</ScaleCrop>
  <Company/>
  <LinksUpToDate>false</LinksUpToDate>
  <CharactersWithSpaces>29457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Korisnik</cp:lastModifiedBy>
  <cp:revision>2</cp:revision>
  <dcterms:created xsi:type="dcterms:W3CDTF">2025-10-09T09:35:00Z</dcterms:created>
  <dcterms:modified xsi:type="dcterms:W3CDTF">2025-10-09T09:35:00Z</dcterms:modified>
</cp:coreProperties>
</file>